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FD8B1C" w14:textId="77777777" w:rsidR="00212623" w:rsidRPr="00B02865" w:rsidRDefault="00212623">
      <w:pPr>
        <w:spacing w:after="160"/>
        <w:jc w:val="center"/>
        <w:rPr>
          <w:rFonts w:ascii="Times New Roman" w:eastAsia="Times New Roman" w:hAnsi="Times New Roman" w:cs="Times New Roman"/>
          <w:b/>
          <w:i/>
          <w:sz w:val="28"/>
          <w:szCs w:val="28"/>
        </w:rPr>
      </w:pPr>
      <w:r w:rsidRPr="00B02865">
        <w:rPr>
          <w:rFonts w:ascii="Times New Roman" w:eastAsia="Times New Roman" w:hAnsi="Times New Roman" w:cs="Times New Roman"/>
          <w:b/>
          <w:i/>
          <w:sz w:val="28"/>
          <w:szCs w:val="28"/>
        </w:rPr>
        <w:t>In Consideration of Reinstating Pell for Incarcerated Students</w:t>
      </w:r>
    </w:p>
    <w:p w14:paraId="35D0CAC2" w14:textId="6622F5A1" w:rsidR="00212623" w:rsidRPr="002B4407" w:rsidRDefault="004634A7" w:rsidP="004634A7">
      <w:pPr>
        <w:jc w:val="center"/>
        <w:rPr>
          <w:rFonts w:ascii="Times New Roman" w:eastAsia="Times New Roman" w:hAnsi="Times New Roman" w:cs="Times New Roman"/>
        </w:rPr>
      </w:pPr>
      <w:r>
        <w:rPr>
          <w:rFonts w:ascii="Times New Roman" w:eastAsia="Times New Roman" w:hAnsi="Times New Roman" w:cs="Times New Roman"/>
        </w:rPr>
        <w:t xml:space="preserve">Erin S. Corbett and </w:t>
      </w:r>
      <w:bookmarkStart w:id="0" w:name="_GoBack"/>
      <w:bookmarkEnd w:id="0"/>
      <w:r>
        <w:rPr>
          <w:rFonts w:ascii="Times New Roman" w:eastAsia="Times New Roman" w:hAnsi="Times New Roman" w:cs="Times New Roman"/>
        </w:rPr>
        <w:t>Julie Ajinkya</w:t>
      </w:r>
    </w:p>
    <w:p w14:paraId="5E66D28D" w14:textId="0547A88E" w:rsidR="008820D2" w:rsidRPr="002B4407" w:rsidRDefault="008820D2">
      <w:pPr>
        <w:spacing w:after="160"/>
        <w:jc w:val="center"/>
        <w:rPr>
          <w:rFonts w:ascii="Times New Roman" w:eastAsia="Times New Roman" w:hAnsi="Times New Roman" w:cs="Times New Roman"/>
        </w:rPr>
      </w:pPr>
    </w:p>
    <w:p w14:paraId="72584827" w14:textId="77777777" w:rsidR="00596DBC" w:rsidRDefault="00125572" w:rsidP="002B4407">
      <w:pPr>
        <w:contextualSpacing/>
        <w:rPr>
          <w:rFonts w:ascii="Times New Roman" w:eastAsia="Times New Roman" w:hAnsi="Times New Roman" w:cs="Times New Roman"/>
        </w:rPr>
      </w:pPr>
      <w:r>
        <w:rPr>
          <w:rFonts w:ascii="Times New Roman" w:eastAsia="Times New Roman" w:hAnsi="Times New Roman" w:cs="Times New Roman"/>
        </w:rPr>
        <w:tab/>
      </w:r>
      <w:bookmarkStart w:id="1" w:name="_Hlk524704162"/>
      <w:r w:rsidR="00C724AB" w:rsidRPr="008075A4">
        <w:rPr>
          <w:rFonts w:ascii="Times New Roman" w:eastAsia="Times New Roman" w:hAnsi="Times New Roman" w:cs="Times New Roman"/>
        </w:rPr>
        <w:t>Data</w:t>
      </w:r>
      <w:r w:rsidR="00F35EFA" w:rsidRPr="008075A4">
        <w:rPr>
          <w:rFonts w:ascii="Times New Roman" w:eastAsia="Times New Roman" w:hAnsi="Times New Roman" w:cs="Times New Roman"/>
        </w:rPr>
        <w:t xml:space="preserve"> about the epidemic of mass incarceration and the collat</w:t>
      </w:r>
      <w:r w:rsidR="00C724AB" w:rsidRPr="008075A4">
        <w:rPr>
          <w:rFonts w:ascii="Times New Roman" w:eastAsia="Times New Roman" w:hAnsi="Times New Roman" w:cs="Times New Roman"/>
        </w:rPr>
        <w:t>eral consequences of conviction</w:t>
      </w:r>
      <w:r w:rsidR="00F35EFA" w:rsidRPr="008075A4">
        <w:rPr>
          <w:rFonts w:ascii="Times New Roman" w:eastAsia="Times New Roman" w:hAnsi="Times New Roman" w:cs="Times New Roman"/>
        </w:rPr>
        <w:t xml:space="preserve"> are </w:t>
      </w:r>
      <w:r w:rsidR="008E04F3">
        <w:rPr>
          <w:rFonts w:ascii="Times New Roman" w:eastAsia="Times New Roman" w:hAnsi="Times New Roman" w:cs="Times New Roman"/>
        </w:rPr>
        <w:t>widely known</w:t>
      </w:r>
      <w:r w:rsidR="00F35EFA" w:rsidRPr="008075A4">
        <w:rPr>
          <w:rFonts w:ascii="Times New Roman" w:eastAsia="Times New Roman" w:hAnsi="Times New Roman" w:cs="Times New Roman"/>
        </w:rPr>
        <w:t>.</w:t>
      </w:r>
      <w:bookmarkEnd w:id="1"/>
      <w:r w:rsidR="007C00B3" w:rsidRPr="008075A4">
        <w:rPr>
          <w:rFonts w:ascii="Times New Roman" w:eastAsia="Times New Roman" w:hAnsi="Times New Roman" w:cs="Times New Roman"/>
        </w:rPr>
        <w:t xml:space="preserve"> </w:t>
      </w:r>
      <w:r w:rsidR="006268BE">
        <w:rPr>
          <w:rFonts w:ascii="Times New Roman" w:eastAsia="Times New Roman" w:hAnsi="Times New Roman" w:cs="Times New Roman"/>
        </w:rPr>
        <w:t>Past research</w:t>
      </w:r>
      <w:r w:rsidR="006B0D04">
        <w:rPr>
          <w:rFonts w:ascii="Times New Roman" w:eastAsia="Times New Roman" w:hAnsi="Times New Roman" w:cs="Times New Roman"/>
        </w:rPr>
        <w:t xml:space="preserve"> </w:t>
      </w:r>
      <w:r w:rsidR="009440F7">
        <w:rPr>
          <w:rFonts w:ascii="Times New Roman" w:eastAsia="Times New Roman" w:hAnsi="Times New Roman" w:cs="Times New Roman"/>
        </w:rPr>
        <w:t xml:space="preserve">has </w:t>
      </w:r>
      <w:r w:rsidR="006268BE">
        <w:rPr>
          <w:rFonts w:ascii="Times New Roman" w:eastAsia="Times New Roman" w:hAnsi="Times New Roman" w:cs="Times New Roman"/>
        </w:rPr>
        <w:t xml:space="preserve">highlighted </w:t>
      </w:r>
      <w:r w:rsidR="006B0D04">
        <w:rPr>
          <w:rFonts w:ascii="Times New Roman" w:eastAsia="Times New Roman" w:hAnsi="Times New Roman" w:cs="Times New Roman"/>
        </w:rPr>
        <w:t>racial disparities in the criminal justice system</w:t>
      </w:r>
      <w:r w:rsidR="006268BE">
        <w:rPr>
          <w:rFonts w:ascii="Times New Roman" w:eastAsia="Times New Roman" w:hAnsi="Times New Roman" w:cs="Times New Roman"/>
        </w:rPr>
        <w:t xml:space="preserve">, demonstrating </w:t>
      </w:r>
      <w:r w:rsidR="006B0D04">
        <w:rPr>
          <w:rFonts w:ascii="Times New Roman" w:eastAsia="Times New Roman" w:hAnsi="Times New Roman" w:cs="Times New Roman"/>
        </w:rPr>
        <w:t xml:space="preserve">that </w:t>
      </w:r>
      <w:bookmarkStart w:id="2" w:name="_Hlk524704183"/>
      <w:r w:rsidR="007C00B3" w:rsidRPr="008075A4">
        <w:rPr>
          <w:rFonts w:ascii="Times New Roman" w:eastAsia="Times New Roman" w:hAnsi="Times New Roman" w:cs="Times New Roman"/>
        </w:rPr>
        <w:t xml:space="preserve">Black citizens </w:t>
      </w:r>
      <w:r w:rsidR="006B0D04">
        <w:rPr>
          <w:rFonts w:ascii="Times New Roman" w:eastAsia="Times New Roman" w:hAnsi="Times New Roman" w:cs="Times New Roman"/>
        </w:rPr>
        <w:t>were</w:t>
      </w:r>
      <w:r w:rsidR="007C00B3" w:rsidRPr="008075A4">
        <w:rPr>
          <w:rFonts w:ascii="Times New Roman" w:eastAsia="Times New Roman" w:hAnsi="Times New Roman" w:cs="Times New Roman"/>
        </w:rPr>
        <w:t xml:space="preserve"> </w:t>
      </w:r>
      <w:r w:rsidR="006268BE">
        <w:rPr>
          <w:rFonts w:ascii="Times New Roman" w:eastAsia="Times New Roman" w:hAnsi="Times New Roman" w:cs="Times New Roman"/>
        </w:rPr>
        <w:t xml:space="preserve">incarcerated at rates </w:t>
      </w:r>
      <w:r w:rsidR="007C00B3" w:rsidRPr="008075A4">
        <w:rPr>
          <w:rFonts w:ascii="Times New Roman" w:eastAsia="Times New Roman" w:hAnsi="Times New Roman" w:cs="Times New Roman"/>
        </w:rPr>
        <w:t xml:space="preserve">almost seven times higher than that of White citizens and a little over two times higher than that of </w:t>
      </w:r>
      <w:r w:rsidR="00485530">
        <w:rPr>
          <w:rFonts w:ascii="Times New Roman" w:eastAsia="Times New Roman" w:hAnsi="Times New Roman" w:cs="Times New Roman"/>
        </w:rPr>
        <w:t>Hispanic</w:t>
      </w:r>
      <w:r w:rsidR="007C00B3" w:rsidRPr="008075A4">
        <w:rPr>
          <w:rFonts w:ascii="Times New Roman" w:eastAsia="Times New Roman" w:hAnsi="Times New Roman" w:cs="Times New Roman"/>
        </w:rPr>
        <w:t xml:space="preserve"> citizens (Prison Policy Initiative, 2012)</w:t>
      </w:r>
      <w:bookmarkEnd w:id="2"/>
      <w:r w:rsidR="007C00B3" w:rsidRPr="008075A4">
        <w:rPr>
          <w:rFonts w:ascii="Times New Roman" w:eastAsia="Times New Roman" w:hAnsi="Times New Roman" w:cs="Times New Roman"/>
        </w:rPr>
        <w:t xml:space="preserve">. </w:t>
      </w:r>
      <w:r w:rsidR="006268BE">
        <w:rPr>
          <w:rFonts w:ascii="Times New Roman" w:eastAsia="Times New Roman" w:hAnsi="Times New Roman" w:cs="Times New Roman"/>
        </w:rPr>
        <w:t>Recent data</w:t>
      </w:r>
      <w:r w:rsidR="00BB245B" w:rsidRPr="008075A4">
        <w:rPr>
          <w:rFonts w:ascii="Times New Roman" w:eastAsia="Times New Roman" w:hAnsi="Times New Roman" w:cs="Times New Roman"/>
        </w:rPr>
        <w:t xml:space="preserve"> released by the Bureau of Justice Assistance (2017)</w:t>
      </w:r>
      <w:r w:rsidR="006268BE">
        <w:rPr>
          <w:rFonts w:ascii="Times New Roman" w:eastAsia="Times New Roman" w:hAnsi="Times New Roman" w:cs="Times New Roman"/>
        </w:rPr>
        <w:t xml:space="preserve"> underscore</w:t>
      </w:r>
      <w:r w:rsidR="00485530">
        <w:rPr>
          <w:rFonts w:ascii="Times New Roman" w:eastAsia="Times New Roman" w:hAnsi="Times New Roman" w:cs="Times New Roman"/>
        </w:rPr>
        <w:t>d</w:t>
      </w:r>
      <w:r w:rsidR="006268BE">
        <w:rPr>
          <w:rFonts w:ascii="Times New Roman" w:eastAsia="Times New Roman" w:hAnsi="Times New Roman" w:cs="Times New Roman"/>
        </w:rPr>
        <w:t xml:space="preserve"> these disparities,</w:t>
      </w:r>
      <w:r w:rsidR="00BB245B" w:rsidRPr="008075A4">
        <w:rPr>
          <w:rFonts w:ascii="Times New Roman" w:eastAsia="Times New Roman" w:hAnsi="Times New Roman" w:cs="Times New Roman"/>
        </w:rPr>
        <w:t xml:space="preserve"> </w:t>
      </w:r>
      <w:r w:rsidR="006268BE">
        <w:rPr>
          <w:rFonts w:ascii="Times New Roman" w:eastAsia="Times New Roman" w:hAnsi="Times New Roman" w:cs="Times New Roman"/>
        </w:rPr>
        <w:t>highlighting</w:t>
      </w:r>
      <w:r w:rsidR="00BB245B" w:rsidRPr="008075A4">
        <w:rPr>
          <w:rFonts w:ascii="Times New Roman" w:eastAsia="Times New Roman" w:hAnsi="Times New Roman" w:cs="Times New Roman"/>
        </w:rPr>
        <w:t xml:space="preserve"> that one in three Black men and one in six Hispanic men will face criminal justice involvement at some point in their adult lives. </w:t>
      </w:r>
      <w:r w:rsidR="004D0AD5">
        <w:rPr>
          <w:rFonts w:ascii="Times New Roman" w:eastAsia="Times New Roman" w:hAnsi="Times New Roman" w:cs="Times New Roman"/>
        </w:rPr>
        <w:t>The</w:t>
      </w:r>
      <w:r w:rsidR="007C00B3" w:rsidRPr="008075A4">
        <w:rPr>
          <w:rFonts w:ascii="Times New Roman" w:eastAsia="Times New Roman" w:hAnsi="Times New Roman" w:cs="Times New Roman"/>
        </w:rPr>
        <w:t xml:space="preserve"> RAND Corporation (2013, 2014, 2018)</w:t>
      </w:r>
      <w:r w:rsidR="004D0AD5">
        <w:rPr>
          <w:rFonts w:ascii="Times New Roman" w:eastAsia="Times New Roman" w:hAnsi="Times New Roman" w:cs="Times New Roman"/>
        </w:rPr>
        <w:t xml:space="preserve"> has</w:t>
      </w:r>
      <w:r w:rsidR="003E240B" w:rsidRPr="008075A4">
        <w:rPr>
          <w:rFonts w:ascii="Times New Roman" w:eastAsia="Times New Roman" w:hAnsi="Times New Roman" w:cs="Times New Roman"/>
        </w:rPr>
        <w:t xml:space="preserve"> </w:t>
      </w:r>
      <w:r w:rsidR="004D0AD5">
        <w:rPr>
          <w:rFonts w:ascii="Times New Roman" w:eastAsia="Times New Roman" w:hAnsi="Times New Roman" w:cs="Times New Roman"/>
        </w:rPr>
        <w:t>explored p</w:t>
      </w:r>
      <w:r w:rsidR="004D0AD5" w:rsidRPr="008075A4">
        <w:rPr>
          <w:rFonts w:ascii="Times New Roman" w:eastAsia="Times New Roman" w:hAnsi="Times New Roman" w:cs="Times New Roman"/>
        </w:rPr>
        <w:t>ost-release outcomes</w:t>
      </w:r>
      <w:r w:rsidR="004D0AD5">
        <w:rPr>
          <w:rFonts w:ascii="Times New Roman" w:eastAsia="Times New Roman" w:hAnsi="Times New Roman" w:cs="Times New Roman"/>
        </w:rPr>
        <w:t xml:space="preserve"> for </w:t>
      </w:r>
      <w:r w:rsidR="003C30BA">
        <w:rPr>
          <w:rFonts w:ascii="Times New Roman" w:eastAsia="Times New Roman" w:hAnsi="Times New Roman" w:cs="Times New Roman"/>
        </w:rPr>
        <w:t>the nation’s incarcerated population,</w:t>
      </w:r>
      <w:r w:rsidR="004D0AD5">
        <w:rPr>
          <w:rFonts w:ascii="Times New Roman" w:eastAsia="Times New Roman" w:hAnsi="Times New Roman" w:cs="Times New Roman"/>
        </w:rPr>
        <w:t xml:space="preserve"> asking </w:t>
      </w:r>
      <w:r w:rsidR="007C00B3" w:rsidRPr="008075A4">
        <w:rPr>
          <w:rFonts w:ascii="Times New Roman" w:eastAsia="Times New Roman" w:hAnsi="Times New Roman" w:cs="Times New Roman"/>
        </w:rPr>
        <w:t>critical questions about the relationship between education and post-release outcomes like recidivism and employment</w:t>
      </w:r>
      <w:r w:rsidR="00BB245B" w:rsidRPr="008075A4">
        <w:rPr>
          <w:rFonts w:ascii="Times New Roman" w:eastAsia="Times New Roman" w:hAnsi="Times New Roman" w:cs="Times New Roman"/>
        </w:rPr>
        <w:t xml:space="preserve">; </w:t>
      </w:r>
      <w:r w:rsidR="003C30BA">
        <w:rPr>
          <w:rFonts w:ascii="Times New Roman" w:eastAsia="Times New Roman" w:hAnsi="Times New Roman" w:cs="Times New Roman"/>
        </w:rPr>
        <w:t>not surprisingly</w:t>
      </w:r>
      <w:r w:rsidR="00BB245B" w:rsidRPr="008075A4">
        <w:rPr>
          <w:rFonts w:ascii="Times New Roman" w:eastAsia="Times New Roman" w:hAnsi="Times New Roman" w:cs="Times New Roman"/>
        </w:rPr>
        <w:t xml:space="preserve">, </w:t>
      </w:r>
      <w:r w:rsidR="003C30BA">
        <w:rPr>
          <w:rFonts w:ascii="Times New Roman" w:eastAsia="Times New Roman" w:hAnsi="Times New Roman" w:cs="Times New Roman"/>
        </w:rPr>
        <w:t>their research</w:t>
      </w:r>
      <w:r w:rsidR="00BB245B" w:rsidRPr="008075A4">
        <w:rPr>
          <w:rFonts w:ascii="Times New Roman" w:eastAsia="Times New Roman" w:hAnsi="Times New Roman" w:cs="Times New Roman"/>
        </w:rPr>
        <w:t xml:space="preserve"> </w:t>
      </w:r>
      <w:r w:rsidR="00485530">
        <w:rPr>
          <w:rFonts w:ascii="Times New Roman" w:eastAsia="Times New Roman" w:hAnsi="Times New Roman" w:cs="Times New Roman"/>
        </w:rPr>
        <w:t xml:space="preserve">also </w:t>
      </w:r>
      <w:r w:rsidR="00BB245B" w:rsidRPr="008075A4">
        <w:rPr>
          <w:rFonts w:ascii="Times New Roman" w:eastAsia="Times New Roman" w:hAnsi="Times New Roman" w:cs="Times New Roman"/>
        </w:rPr>
        <w:t>found that young adults who do not complete high school have a greater likelihood of criminal justice involvement than their peers who graduate</w:t>
      </w:r>
      <w:r w:rsidR="007C00B3" w:rsidRPr="008075A4">
        <w:rPr>
          <w:rFonts w:ascii="Times New Roman" w:eastAsia="Times New Roman" w:hAnsi="Times New Roman" w:cs="Times New Roman"/>
        </w:rPr>
        <w:t>.</w:t>
      </w:r>
      <w:r w:rsidR="00C724AB" w:rsidRPr="008075A4">
        <w:rPr>
          <w:rFonts w:ascii="Times New Roman" w:eastAsia="Times New Roman" w:hAnsi="Times New Roman" w:cs="Times New Roman"/>
        </w:rPr>
        <w:t xml:space="preserve"> </w:t>
      </w:r>
      <w:r w:rsidR="00B14B3D">
        <w:rPr>
          <w:rFonts w:ascii="Times New Roman" w:eastAsia="Times New Roman" w:hAnsi="Times New Roman" w:cs="Times New Roman"/>
        </w:rPr>
        <w:t>In addition to</w:t>
      </w:r>
      <w:r w:rsidR="001F6F99" w:rsidRPr="008075A4">
        <w:rPr>
          <w:rFonts w:ascii="Times New Roman" w:eastAsia="Times New Roman" w:hAnsi="Times New Roman" w:cs="Times New Roman"/>
        </w:rPr>
        <w:t xml:space="preserve"> </w:t>
      </w:r>
      <w:r w:rsidR="00B14B3D">
        <w:rPr>
          <w:rFonts w:ascii="Times New Roman" w:eastAsia="Times New Roman" w:hAnsi="Times New Roman" w:cs="Times New Roman"/>
        </w:rPr>
        <w:t xml:space="preserve">educational </w:t>
      </w:r>
      <w:r w:rsidR="001F6F99" w:rsidRPr="008075A4">
        <w:rPr>
          <w:rFonts w:ascii="Times New Roman" w:eastAsia="Times New Roman" w:hAnsi="Times New Roman" w:cs="Times New Roman"/>
        </w:rPr>
        <w:t>attainment gaps</w:t>
      </w:r>
      <w:r w:rsidR="00B14B3D">
        <w:rPr>
          <w:rFonts w:ascii="Times New Roman" w:eastAsia="Times New Roman" w:hAnsi="Times New Roman" w:cs="Times New Roman"/>
        </w:rPr>
        <w:t xml:space="preserve"> between justice-involved individuals and the population at large </w:t>
      </w:r>
      <w:r w:rsidR="00181324" w:rsidRPr="008075A4">
        <w:rPr>
          <w:rFonts w:ascii="Times New Roman" w:eastAsia="Times New Roman" w:hAnsi="Times New Roman" w:cs="Times New Roman"/>
        </w:rPr>
        <w:t>(</w:t>
      </w:r>
      <w:r w:rsidR="0090144B" w:rsidRPr="008075A4">
        <w:rPr>
          <w:rFonts w:ascii="Times New Roman" w:eastAsia="Times New Roman" w:hAnsi="Times New Roman" w:cs="Times New Roman"/>
        </w:rPr>
        <w:t>PIAA</w:t>
      </w:r>
      <w:r w:rsidR="00181324" w:rsidRPr="008075A4">
        <w:rPr>
          <w:rFonts w:ascii="Times New Roman" w:eastAsia="Times New Roman" w:hAnsi="Times New Roman" w:cs="Times New Roman"/>
        </w:rPr>
        <w:t>C 2014)</w:t>
      </w:r>
      <w:r w:rsidR="00B14B3D">
        <w:rPr>
          <w:rStyle w:val="CommentReference"/>
          <w:rFonts w:ascii="Times New Roman" w:hAnsi="Times New Roman" w:cs="Times New Roman"/>
        </w:rPr>
        <w:t xml:space="preserve">, </w:t>
      </w:r>
      <w:r w:rsidR="00B14B3D">
        <w:rPr>
          <w:rFonts w:ascii="Times New Roman" w:eastAsia="Times New Roman" w:hAnsi="Times New Roman" w:cs="Times New Roman"/>
        </w:rPr>
        <w:t>research has also found d</w:t>
      </w:r>
      <w:r w:rsidR="00C724AB" w:rsidRPr="008075A4">
        <w:rPr>
          <w:rFonts w:ascii="Times New Roman" w:eastAsia="Times New Roman" w:hAnsi="Times New Roman" w:cs="Times New Roman"/>
        </w:rPr>
        <w:t>is</w:t>
      </w:r>
      <w:r w:rsidR="00B14B3D">
        <w:rPr>
          <w:rFonts w:ascii="Times New Roman" w:eastAsia="Times New Roman" w:hAnsi="Times New Roman" w:cs="Times New Roman"/>
        </w:rPr>
        <w:t>parities</w:t>
      </w:r>
      <w:r w:rsidR="00C724AB" w:rsidRPr="008075A4">
        <w:rPr>
          <w:rFonts w:ascii="Times New Roman" w:eastAsia="Times New Roman" w:hAnsi="Times New Roman" w:cs="Times New Roman"/>
        </w:rPr>
        <w:t xml:space="preserve"> in income level</w:t>
      </w:r>
      <w:r w:rsidR="00485530">
        <w:rPr>
          <w:rFonts w:ascii="Times New Roman" w:eastAsia="Times New Roman" w:hAnsi="Times New Roman" w:cs="Times New Roman"/>
        </w:rPr>
        <w:t xml:space="preserve"> between justice-involved individuals and the average US Household</w:t>
      </w:r>
      <w:r w:rsidR="00B14B3D">
        <w:rPr>
          <w:rFonts w:ascii="Times New Roman" w:eastAsia="Times New Roman" w:hAnsi="Times New Roman" w:cs="Times New Roman"/>
        </w:rPr>
        <w:t xml:space="preserve"> </w:t>
      </w:r>
      <w:sdt>
        <w:sdtPr>
          <w:rPr>
            <w:rFonts w:ascii="Times New Roman" w:hAnsi="Times New Roman" w:cs="Times New Roman"/>
          </w:rPr>
          <w:id w:val="1002246949"/>
          <w:citation/>
        </w:sdtPr>
        <w:sdtEndPr/>
        <w:sdtContent>
          <w:r w:rsidR="001F6F99" w:rsidRPr="008E04F3">
            <w:rPr>
              <w:rFonts w:ascii="Times New Roman" w:hAnsi="Times New Roman" w:cs="Times New Roman"/>
            </w:rPr>
            <w:fldChar w:fldCharType="begin"/>
          </w:r>
          <w:r w:rsidR="001F6F99" w:rsidRPr="008075A4">
            <w:rPr>
              <w:rFonts w:ascii="Times New Roman" w:hAnsi="Times New Roman" w:cs="Times New Roman"/>
            </w:rPr>
            <w:instrText xml:space="preserve"> CITATION Rab15 \l 1033 </w:instrText>
          </w:r>
          <w:r w:rsidR="001F6F99" w:rsidRPr="008E04F3">
            <w:rPr>
              <w:rFonts w:ascii="Times New Roman" w:hAnsi="Times New Roman" w:cs="Times New Roman"/>
            </w:rPr>
            <w:fldChar w:fldCharType="separate"/>
          </w:r>
          <w:r w:rsidR="001F6F99" w:rsidRPr="008075A4">
            <w:rPr>
              <w:rFonts w:ascii="Times New Roman" w:hAnsi="Times New Roman" w:cs="Times New Roman"/>
              <w:noProof/>
            </w:rPr>
            <w:t>(Rabuy and Kopf 2015)</w:t>
          </w:r>
          <w:r w:rsidR="001F6F99" w:rsidRPr="008E04F3">
            <w:rPr>
              <w:rFonts w:ascii="Times New Roman" w:hAnsi="Times New Roman" w:cs="Times New Roman"/>
            </w:rPr>
            <w:fldChar w:fldCharType="end"/>
          </w:r>
        </w:sdtContent>
      </w:sdt>
      <w:r w:rsidR="00485530">
        <w:rPr>
          <w:rFonts w:ascii="Times New Roman" w:hAnsi="Times New Roman" w:cs="Times New Roman"/>
        </w:rPr>
        <w:t>.</w:t>
      </w:r>
      <w:r w:rsidR="001F6F99" w:rsidRPr="008075A4">
        <w:rPr>
          <w:rFonts w:ascii="Times New Roman" w:eastAsia="Times New Roman" w:hAnsi="Times New Roman" w:cs="Times New Roman"/>
        </w:rPr>
        <w:t xml:space="preserve"> </w:t>
      </w:r>
      <w:r w:rsidR="00BB245B" w:rsidRPr="008075A4">
        <w:rPr>
          <w:rFonts w:ascii="Times New Roman" w:eastAsia="Times New Roman" w:hAnsi="Times New Roman" w:cs="Times New Roman"/>
        </w:rPr>
        <w:t xml:space="preserve">In short, the </w:t>
      </w:r>
      <w:r w:rsidR="00B14B3D">
        <w:rPr>
          <w:rFonts w:ascii="Times New Roman" w:eastAsia="Times New Roman" w:hAnsi="Times New Roman" w:cs="Times New Roman"/>
        </w:rPr>
        <w:t>possibilities for those impacted by the</w:t>
      </w:r>
      <w:r w:rsidR="00BB245B" w:rsidRPr="008075A4">
        <w:rPr>
          <w:rFonts w:ascii="Times New Roman" w:eastAsia="Times New Roman" w:hAnsi="Times New Roman" w:cs="Times New Roman"/>
        </w:rPr>
        <w:t xml:space="preserve"> criminal justice </w:t>
      </w:r>
      <w:r w:rsidR="00B14B3D">
        <w:rPr>
          <w:rFonts w:ascii="Times New Roman" w:eastAsia="Times New Roman" w:hAnsi="Times New Roman" w:cs="Times New Roman"/>
        </w:rPr>
        <w:t>system are</w:t>
      </w:r>
      <w:r w:rsidR="00BB245B" w:rsidRPr="008075A4">
        <w:rPr>
          <w:rFonts w:ascii="Times New Roman" w:eastAsia="Times New Roman" w:hAnsi="Times New Roman" w:cs="Times New Roman"/>
        </w:rPr>
        <w:t xml:space="preserve"> quite grim.</w:t>
      </w:r>
    </w:p>
    <w:p w14:paraId="46A64948" w14:textId="3FD4EA7E" w:rsidR="00C724AB" w:rsidRPr="008075A4" w:rsidRDefault="00344BFB" w:rsidP="002B4407">
      <w:pPr>
        <w:contextualSpacing/>
        <w:rPr>
          <w:rFonts w:ascii="Times New Roman" w:eastAsia="Times New Roman" w:hAnsi="Times New Roman" w:cs="Times New Roman"/>
        </w:rPr>
      </w:pPr>
      <w:r w:rsidRPr="008075A4">
        <w:rPr>
          <w:rFonts w:ascii="Times New Roman" w:eastAsia="Times New Roman" w:hAnsi="Times New Roman" w:cs="Times New Roman"/>
        </w:rPr>
        <w:t xml:space="preserve"> </w:t>
      </w:r>
    </w:p>
    <w:p w14:paraId="3A955F63" w14:textId="51474B8E" w:rsidR="003E240B" w:rsidRDefault="003E240B" w:rsidP="002B4407">
      <w:pPr>
        <w:contextualSpacing/>
        <w:rPr>
          <w:rFonts w:ascii="Times New Roman" w:eastAsia="Times New Roman" w:hAnsi="Times New Roman" w:cs="Times New Roman"/>
        </w:rPr>
      </w:pPr>
      <w:r w:rsidRPr="008075A4">
        <w:rPr>
          <w:rFonts w:ascii="Times New Roman" w:eastAsia="Times New Roman" w:hAnsi="Times New Roman" w:cs="Times New Roman"/>
        </w:rPr>
        <w:tab/>
        <w:t xml:space="preserve">The trend of mass incarceration was, and in </w:t>
      </w:r>
      <w:r w:rsidR="00E575F7" w:rsidRPr="008075A4">
        <w:rPr>
          <w:rFonts w:ascii="Times New Roman" w:eastAsia="Times New Roman" w:hAnsi="Times New Roman" w:cs="Times New Roman"/>
        </w:rPr>
        <w:t>many</w:t>
      </w:r>
      <w:r w:rsidRPr="008075A4">
        <w:rPr>
          <w:rFonts w:ascii="Times New Roman" w:eastAsia="Times New Roman" w:hAnsi="Times New Roman" w:cs="Times New Roman"/>
        </w:rPr>
        <w:t xml:space="preserve"> instances continues to be, a direct result of tough-on-crime, law-and-order rhetoric. The legislation that emerged from this rhetoric in the late 20</w:t>
      </w:r>
      <w:r w:rsidRPr="002B4407">
        <w:rPr>
          <w:rFonts w:ascii="Times New Roman" w:eastAsia="Times New Roman" w:hAnsi="Times New Roman" w:cs="Times New Roman"/>
          <w:vertAlign w:val="superscript"/>
        </w:rPr>
        <w:t>th</w:t>
      </w:r>
      <w:r w:rsidRPr="008075A4">
        <w:rPr>
          <w:rFonts w:ascii="Times New Roman" w:eastAsia="Times New Roman" w:hAnsi="Times New Roman" w:cs="Times New Roman"/>
        </w:rPr>
        <w:t xml:space="preserve"> century amplified criminal justice practices like mandatory minimums and truth-in-sentencing statutes</w:t>
      </w:r>
      <w:r w:rsidR="00E575F7" w:rsidRPr="008075A4">
        <w:rPr>
          <w:rFonts w:ascii="Times New Roman" w:eastAsia="Times New Roman" w:hAnsi="Times New Roman" w:cs="Times New Roman"/>
        </w:rPr>
        <w:t>, imposing longer sentences and mandating a higher percentage of the longer sentence be served before parole eligibility</w:t>
      </w:r>
      <w:r w:rsidRPr="008075A4">
        <w:rPr>
          <w:rFonts w:ascii="Times New Roman" w:eastAsia="Times New Roman" w:hAnsi="Times New Roman" w:cs="Times New Roman"/>
        </w:rPr>
        <w:t>. The implementation of these laws, and the deployment of law enforcement to uphold them, resulted in black and brown</w:t>
      </w:r>
      <w:r w:rsidR="00CB753F">
        <w:rPr>
          <w:rFonts w:ascii="Times New Roman" w:eastAsia="Times New Roman" w:hAnsi="Times New Roman" w:cs="Times New Roman"/>
        </w:rPr>
        <w:t xml:space="preserve"> communities being disproportionately targeted and</w:t>
      </w:r>
      <w:r w:rsidR="000E7C29" w:rsidRPr="008075A4">
        <w:rPr>
          <w:rFonts w:ascii="Times New Roman" w:eastAsia="Times New Roman" w:hAnsi="Times New Roman" w:cs="Times New Roman"/>
        </w:rPr>
        <w:t xml:space="preserve"> ending up behind bars. Adding nuance to the conversation a</w:t>
      </w:r>
      <w:r w:rsidR="00111647">
        <w:rPr>
          <w:rFonts w:ascii="Times New Roman" w:eastAsia="Times New Roman" w:hAnsi="Times New Roman" w:cs="Times New Roman"/>
        </w:rPr>
        <w:t xml:space="preserve">bout disproportionate impact are data that highlight age distribution of those in carceral custody.  The Bureau of Justice Statistics reported that 1,612,395 individuals were incarcerated in 2010; almost 50% of those individuals were between the </w:t>
      </w:r>
      <w:r w:rsidR="000E7C29" w:rsidRPr="008075A4">
        <w:rPr>
          <w:rFonts w:ascii="Times New Roman" w:eastAsia="Times New Roman" w:hAnsi="Times New Roman" w:cs="Times New Roman"/>
        </w:rPr>
        <w:t xml:space="preserve">ages </w:t>
      </w:r>
      <w:r w:rsidR="00111647">
        <w:rPr>
          <w:rFonts w:ascii="Times New Roman" w:eastAsia="Times New Roman" w:hAnsi="Times New Roman" w:cs="Times New Roman"/>
        </w:rPr>
        <w:t xml:space="preserve">of </w:t>
      </w:r>
      <w:r w:rsidR="000E7C29" w:rsidRPr="008075A4">
        <w:rPr>
          <w:rFonts w:ascii="Times New Roman" w:eastAsia="Times New Roman" w:hAnsi="Times New Roman" w:cs="Times New Roman"/>
        </w:rPr>
        <w:t>18-29 (Child Trends 2016).</w:t>
      </w:r>
      <w:r w:rsidR="00EA3111" w:rsidRPr="008075A4">
        <w:rPr>
          <w:rFonts w:ascii="Times New Roman" w:eastAsia="Times New Roman" w:hAnsi="Times New Roman" w:cs="Times New Roman"/>
        </w:rPr>
        <w:t xml:space="preserve"> </w:t>
      </w:r>
      <w:r w:rsidR="00E575F7" w:rsidRPr="008075A4">
        <w:rPr>
          <w:rFonts w:ascii="Times New Roman" w:eastAsia="Times New Roman" w:hAnsi="Times New Roman" w:cs="Times New Roman"/>
        </w:rPr>
        <w:t>Alas, when</w:t>
      </w:r>
      <w:r w:rsidR="00EA3111" w:rsidRPr="008075A4">
        <w:rPr>
          <w:rFonts w:ascii="Times New Roman" w:eastAsia="Times New Roman" w:hAnsi="Times New Roman" w:cs="Times New Roman"/>
        </w:rPr>
        <w:t xml:space="preserve"> viewing this cross-section of </w:t>
      </w:r>
      <w:r w:rsidR="001E0204" w:rsidRPr="008075A4">
        <w:rPr>
          <w:rFonts w:ascii="Times New Roman" w:eastAsia="Times New Roman" w:hAnsi="Times New Roman" w:cs="Times New Roman"/>
        </w:rPr>
        <w:t>facts,</w:t>
      </w:r>
      <w:r w:rsidR="00EA3111" w:rsidRPr="008075A4">
        <w:rPr>
          <w:rFonts w:ascii="Times New Roman" w:eastAsia="Times New Roman" w:hAnsi="Times New Roman" w:cs="Times New Roman"/>
        </w:rPr>
        <w:t xml:space="preserve"> it becomes clear that the intersectionality of the various components </w:t>
      </w:r>
      <w:r w:rsidR="00485530">
        <w:rPr>
          <w:rFonts w:ascii="Times New Roman" w:eastAsia="Times New Roman" w:hAnsi="Times New Roman" w:cs="Times New Roman"/>
        </w:rPr>
        <w:t xml:space="preserve">presented (race, socioeconomic status, educational attainment) </w:t>
      </w:r>
      <w:r w:rsidR="00EA3111" w:rsidRPr="008075A4">
        <w:rPr>
          <w:rFonts w:ascii="Times New Roman" w:eastAsia="Times New Roman" w:hAnsi="Times New Roman" w:cs="Times New Roman"/>
        </w:rPr>
        <w:t>paints a</w:t>
      </w:r>
      <w:r w:rsidR="00485530">
        <w:rPr>
          <w:rFonts w:ascii="Times New Roman" w:eastAsia="Times New Roman" w:hAnsi="Times New Roman" w:cs="Times New Roman"/>
        </w:rPr>
        <w:t xml:space="preserve"> clear and</w:t>
      </w:r>
      <w:r w:rsidR="00EA3111" w:rsidRPr="008075A4">
        <w:rPr>
          <w:rFonts w:ascii="Times New Roman" w:eastAsia="Times New Roman" w:hAnsi="Times New Roman" w:cs="Times New Roman"/>
        </w:rPr>
        <w:t xml:space="preserve"> unfortunate picture. Those populating the country’s jails and prisons are mostly young men – and </w:t>
      </w:r>
      <w:r w:rsidR="00EF5A6F">
        <w:rPr>
          <w:rFonts w:ascii="Times New Roman" w:eastAsia="Times New Roman" w:hAnsi="Times New Roman" w:cs="Times New Roman"/>
        </w:rPr>
        <w:t>increasingly</w:t>
      </w:r>
      <w:r w:rsidR="00EA3111" w:rsidRPr="008075A4">
        <w:rPr>
          <w:rFonts w:ascii="Times New Roman" w:eastAsia="Times New Roman" w:hAnsi="Times New Roman" w:cs="Times New Roman"/>
        </w:rPr>
        <w:t xml:space="preserve"> women – of color from low-income backgrounds with lower educational attainment than their peers.</w:t>
      </w:r>
      <w:r w:rsidR="00763972" w:rsidRPr="008075A4">
        <w:rPr>
          <w:rFonts w:ascii="Times New Roman" w:eastAsia="Times New Roman" w:hAnsi="Times New Roman" w:cs="Times New Roman"/>
        </w:rPr>
        <w:t xml:space="preserve">  </w:t>
      </w:r>
    </w:p>
    <w:p w14:paraId="6634B405" w14:textId="77777777" w:rsidR="00596DBC" w:rsidRPr="008075A4" w:rsidRDefault="00596DBC" w:rsidP="002B4407">
      <w:pPr>
        <w:contextualSpacing/>
        <w:rPr>
          <w:rFonts w:ascii="Times New Roman" w:eastAsia="Times New Roman" w:hAnsi="Times New Roman" w:cs="Times New Roman"/>
        </w:rPr>
      </w:pPr>
    </w:p>
    <w:p w14:paraId="544A1EE7" w14:textId="723554D0" w:rsidR="009D6E7F" w:rsidRDefault="00EA3111" w:rsidP="002B4407">
      <w:pPr>
        <w:contextualSpacing/>
        <w:rPr>
          <w:rFonts w:ascii="Times New Roman" w:eastAsia="Times New Roman" w:hAnsi="Times New Roman" w:cs="Times New Roman"/>
        </w:rPr>
      </w:pPr>
      <w:r w:rsidRPr="008075A4">
        <w:rPr>
          <w:rFonts w:ascii="Times New Roman" w:eastAsia="Times New Roman" w:hAnsi="Times New Roman" w:cs="Times New Roman"/>
        </w:rPr>
        <w:tab/>
        <w:t xml:space="preserve">As the prison population began to increase at record </w:t>
      </w:r>
      <w:r w:rsidR="007559B3">
        <w:rPr>
          <w:rFonts w:ascii="Times New Roman" w:eastAsia="Times New Roman" w:hAnsi="Times New Roman" w:cs="Times New Roman"/>
        </w:rPr>
        <w:t>rates</w:t>
      </w:r>
      <w:r w:rsidR="00485530">
        <w:rPr>
          <w:rFonts w:ascii="Times New Roman" w:eastAsia="Times New Roman" w:hAnsi="Times New Roman" w:cs="Times New Roman"/>
        </w:rPr>
        <w:t xml:space="preserve"> in the late 20</w:t>
      </w:r>
      <w:r w:rsidR="00485530" w:rsidRPr="002B4407">
        <w:rPr>
          <w:rFonts w:ascii="Times New Roman" w:eastAsia="Times New Roman" w:hAnsi="Times New Roman" w:cs="Times New Roman"/>
          <w:vertAlign w:val="superscript"/>
        </w:rPr>
        <w:t>th</w:t>
      </w:r>
      <w:r w:rsidR="00485530">
        <w:rPr>
          <w:rFonts w:ascii="Times New Roman" w:eastAsia="Times New Roman" w:hAnsi="Times New Roman" w:cs="Times New Roman"/>
        </w:rPr>
        <w:t xml:space="preserve"> century</w:t>
      </w:r>
      <w:r w:rsidRPr="008075A4">
        <w:rPr>
          <w:rFonts w:ascii="Times New Roman" w:eastAsia="Times New Roman" w:hAnsi="Times New Roman" w:cs="Times New Roman"/>
        </w:rPr>
        <w:t>, higher education programs inside correctional facilities also began to increase</w:t>
      </w:r>
      <w:r w:rsidR="00E575F7" w:rsidRPr="008075A4">
        <w:rPr>
          <w:rFonts w:ascii="Times New Roman" w:eastAsia="Times New Roman" w:hAnsi="Times New Roman" w:cs="Times New Roman"/>
        </w:rPr>
        <w:t xml:space="preserve"> to meet the demand of the influx of “college age” persons</w:t>
      </w:r>
      <w:r w:rsidRPr="008075A4">
        <w:rPr>
          <w:rFonts w:ascii="Times New Roman" w:eastAsia="Times New Roman" w:hAnsi="Times New Roman" w:cs="Times New Roman"/>
        </w:rPr>
        <w:t xml:space="preserve">. From the mid-1970s, incarcerated individuals were allowed to use </w:t>
      </w:r>
      <w:r w:rsidR="0047493C">
        <w:rPr>
          <w:rFonts w:ascii="Times New Roman" w:eastAsia="Times New Roman" w:hAnsi="Times New Roman" w:cs="Times New Roman"/>
        </w:rPr>
        <w:t>f</w:t>
      </w:r>
      <w:r w:rsidRPr="008075A4">
        <w:rPr>
          <w:rFonts w:ascii="Times New Roman" w:eastAsia="Times New Roman" w:hAnsi="Times New Roman" w:cs="Times New Roman"/>
        </w:rPr>
        <w:t>ederal Pell Grants in pursuit of a postsecondary credential and, up until 1994, there were over 300 higher education programs inside prisons; these programs were j</w:t>
      </w:r>
      <w:r w:rsidR="00584A8C" w:rsidRPr="008075A4">
        <w:rPr>
          <w:rFonts w:ascii="Times New Roman" w:eastAsia="Times New Roman" w:hAnsi="Times New Roman" w:cs="Times New Roman"/>
        </w:rPr>
        <w:t>ointly run by colleges and universities in partnership with departments of correction</w:t>
      </w:r>
      <w:r w:rsidR="00485530">
        <w:rPr>
          <w:rFonts w:ascii="Times New Roman" w:eastAsia="Times New Roman" w:hAnsi="Times New Roman" w:cs="Times New Roman"/>
        </w:rPr>
        <w:t>(</w:t>
      </w:r>
      <w:r w:rsidR="00584A8C" w:rsidRPr="008075A4">
        <w:rPr>
          <w:rFonts w:ascii="Times New Roman" w:eastAsia="Times New Roman" w:hAnsi="Times New Roman" w:cs="Times New Roman"/>
        </w:rPr>
        <w:t>s</w:t>
      </w:r>
      <w:r w:rsidR="00485530">
        <w:rPr>
          <w:rFonts w:ascii="Times New Roman" w:eastAsia="Times New Roman" w:hAnsi="Times New Roman" w:cs="Times New Roman"/>
        </w:rPr>
        <w:t>)</w:t>
      </w:r>
      <w:r w:rsidR="00584A8C" w:rsidRPr="008075A4">
        <w:rPr>
          <w:rFonts w:ascii="Times New Roman" w:eastAsia="Times New Roman" w:hAnsi="Times New Roman" w:cs="Times New Roman"/>
        </w:rPr>
        <w:t xml:space="preserve"> across the country</w:t>
      </w:r>
      <w:r w:rsidR="00CF4853">
        <w:rPr>
          <w:rFonts w:ascii="Times New Roman" w:eastAsia="Times New Roman" w:hAnsi="Times New Roman" w:cs="Times New Roman"/>
        </w:rPr>
        <w:t xml:space="preserve"> (Zoukis </w:t>
      </w:r>
      <w:r w:rsidR="00CF4853">
        <w:rPr>
          <w:rFonts w:ascii="Times New Roman" w:eastAsia="Times New Roman" w:hAnsi="Times New Roman" w:cs="Times New Roman"/>
        </w:rPr>
        <w:lastRenderedPageBreak/>
        <w:t>2015)</w:t>
      </w:r>
      <w:r w:rsidR="00584A8C" w:rsidRPr="008075A4">
        <w:rPr>
          <w:rFonts w:ascii="Times New Roman" w:eastAsia="Times New Roman" w:hAnsi="Times New Roman" w:cs="Times New Roman"/>
        </w:rPr>
        <w:t xml:space="preserve">. </w:t>
      </w:r>
      <w:r w:rsidR="00E575F7" w:rsidRPr="008075A4">
        <w:rPr>
          <w:rFonts w:ascii="Times New Roman" w:eastAsia="Times New Roman" w:hAnsi="Times New Roman" w:cs="Times New Roman"/>
        </w:rPr>
        <w:t xml:space="preserve">However, the </w:t>
      </w:r>
      <w:r w:rsidR="006A3EF6" w:rsidRPr="002B4407">
        <w:rPr>
          <w:rFonts w:ascii="Times New Roman" w:eastAsia="Times New Roman" w:hAnsi="Times New Roman" w:cs="Times New Roman"/>
        </w:rPr>
        <w:t>Violent Crime Control and Law Enforcement Act of 1994</w:t>
      </w:r>
      <w:r w:rsidR="006A3EF6" w:rsidRPr="008075A4" w:rsidDel="006A3EF6">
        <w:rPr>
          <w:rFonts w:ascii="Times New Roman" w:eastAsia="Times New Roman" w:hAnsi="Times New Roman" w:cs="Times New Roman"/>
        </w:rPr>
        <w:t xml:space="preserve"> </w:t>
      </w:r>
      <w:r w:rsidR="00E575F7" w:rsidRPr="008075A4">
        <w:rPr>
          <w:rFonts w:ascii="Times New Roman" w:eastAsia="Times New Roman" w:hAnsi="Times New Roman" w:cs="Times New Roman"/>
        </w:rPr>
        <w:t>banned Pell access for individuals incarcerated in federal and state facilities</w:t>
      </w:r>
      <w:r w:rsidR="00572B27">
        <w:rPr>
          <w:rFonts w:ascii="Times New Roman" w:eastAsia="Times New Roman" w:hAnsi="Times New Roman" w:cs="Times New Roman"/>
        </w:rPr>
        <w:t xml:space="preserve">; almost immediately, </w:t>
      </w:r>
      <w:r w:rsidR="009D6E7F" w:rsidRPr="008075A4">
        <w:rPr>
          <w:rFonts w:ascii="Times New Roman" w:eastAsia="Times New Roman" w:hAnsi="Times New Roman" w:cs="Times New Roman"/>
        </w:rPr>
        <w:t>college in prison programs</w:t>
      </w:r>
      <w:r w:rsidR="00E575F7" w:rsidRPr="008075A4">
        <w:rPr>
          <w:rFonts w:ascii="Times New Roman" w:eastAsia="Times New Roman" w:hAnsi="Times New Roman" w:cs="Times New Roman"/>
        </w:rPr>
        <w:t xml:space="preserve"> drastically</w:t>
      </w:r>
      <w:r w:rsidR="009D6E7F" w:rsidRPr="008075A4">
        <w:rPr>
          <w:rFonts w:ascii="Times New Roman" w:eastAsia="Times New Roman" w:hAnsi="Times New Roman" w:cs="Times New Roman"/>
        </w:rPr>
        <w:t xml:space="preserve"> declined. </w:t>
      </w:r>
      <w:r w:rsidR="00E575F7" w:rsidRPr="008075A4">
        <w:rPr>
          <w:rFonts w:ascii="Times New Roman" w:eastAsia="Times New Roman" w:hAnsi="Times New Roman" w:cs="Times New Roman"/>
        </w:rPr>
        <w:t xml:space="preserve">What remained, however, was an understanding </w:t>
      </w:r>
      <w:r w:rsidR="00D747A3">
        <w:rPr>
          <w:rFonts w:ascii="Times New Roman" w:eastAsia="Times New Roman" w:hAnsi="Times New Roman" w:cs="Times New Roman"/>
        </w:rPr>
        <w:t xml:space="preserve">of, </w:t>
      </w:r>
      <w:r w:rsidR="00E575F7" w:rsidRPr="008075A4">
        <w:rPr>
          <w:rFonts w:ascii="Times New Roman" w:eastAsia="Times New Roman" w:hAnsi="Times New Roman" w:cs="Times New Roman"/>
        </w:rPr>
        <w:t>and a steadily increasing body of research that touted</w:t>
      </w:r>
      <w:r w:rsidR="00D747A3">
        <w:rPr>
          <w:rFonts w:ascii="Times New Roman" w:eastAsia="Times New Roman" w:hAnsi="Times New Roman" w:cs="Times New Roman"/>
        </w:rPr>
        <w:t>,</w:t>
      </w:r>
      <w:r w:rsidR="00E575F7" w:rsidRPr="008075A4">
        <w:rPr>
          <w:rFonts w:ascii="Times New Roman" w:eastAsia="Times New Roman" w:hAnsi="Times New Roman" w:cs="Times New Roman"/>
        </w:rPr>
        <w:t xml:space="preserve"> the benefits of higher education in prison and linked participation in, and completion of, these programs to higher rates of </w:t>
      </w:r>
      <w:r w:rsidR="00485530">
        <w:rPr>
          <w:rFonts w:ascii="Times New Roman" w:eastAsia="Times New Roman" w:hAnsi="Times New Roman" w:cs="Times New Roman"/>
        </w:rPr>
        <w:t>positive</w:t>
      </w:r>
      <w:r w:rsidR="00E575F7" w:rsidRPr="008075A4">
        <w:rPr>
          <w:rFonts w:ascii="Times New Roman" w:eastAsia="Times New Roman" w:hAnsi="Times New Roman" w:cs="Times New Roman"/>
        </w:rPr>
        <w:t xml:space="preserve"> post-release outcomes</w:t>
      </w:r>
      <w:r w:rsidR="00647C79" w:rsidRPr="008075A4">
        <w:rPr>
          <w:rFonts w:ascii="Times New Roman" w:eastAsia="Times New Roman" w:hAnsi="Times New Roman" w:cs="Times New Roman"/>
        </w:rPr>
        <w:t>.</w:t>
      </w:r>
    </w:p>
    <w:p w14:paraId="0EEB1244" w14:textId="77777777" w:rsidR="00596DBC" w:rsidRPr="008075A4" w:rsidRDefault="00596DBC" w:rsidP="002B4407">
      <w:pPr>
        <w:contextualSpacing/>
        <w:rPr>
          <w:rFonts w:ascii="Times New Roman" w:eastAsia="Times New Roman" w:hAnsi="Times New Roman" w:cs="Times New Roman"/>
        </w:rPr>
      </w:pPr>
    </w:p>
    <w:p w14:paraId="32810CFE" w14:textId="2C0A5840" w:rsidR="00647C79" w:rsidRDefault="00647C79" w:rsidP="002B4407">
      <w:pPr>
        <w:contextualSpacing/>
        <w:rPr>
          <w:rFonts w:ascii="Times New Roman" w:eastAsia="Times New Roman" w:hAnsi="Times New Roman" w:cs="Times New Roman"/>
        </w:rPr>
      </w:pPr>
      <w:r w:rsidRPr="008075A4">
        <w:rPr>
          <w:rFonts w:ascii="Times New Roman" w:eastAsia="Times New Roman" w:hAnsi="Times New Roman" w:cs="Times New Roman"/>
        </w:rPr>
        <w:tab/>
      </w:r>
      <w:r w:rsidR="003C5ACB">
        <w:rPr>
          <w:rFonts w:ascii="Times New Roman" w:eastAsia="Times New Roman" w:hAnsi="Times New Roman" w:cs="Times New Roman"/>
        </w:rPr>
        <w:t>There is significant bipartisan support</w:t>
      </w:r>
      <w:r w:rsidRPr="008075A4">
        <w:rPr>
          <w:rFonts w:ascii="Times New Roman" w:eastAsia="Times New Roman" w:hAnsi="Times New Roman" w:cs="Times New Roman"/>
        </w:rPr>
        <w:t xml:space="preserve"> </w:t>
      </w:r>
      <w:r w:rsidR="00446222">
        <w:rPr>
          <w:rFonts w:ascii="Times New Roman" w:eastAsia="Times New Roman" w:hAnsi="Times New Roman" w:cs="Times New Roman"/>
        </w:rPr>
        <w:t>among</w:t>
      </w:r>
      <w:r w:rsidRPr="008075A4">
        <w:rPr>
          <w:rFonts w:ascii="Times New Roman" w:eastAsia="Times New Roman" w:hAnsi="Times New Roman" w:cs="Times New Roman"/>
        </w:rPr>
        <w:t xml:space="preserve"> </w:t>
      </w:r>
      <w:r w:rsidR="00886BE7">
        <w:rPr>
          <w:rFonts w:ascii="Times New Roman" w:eastAsia="Times New Roman" w:hAnsi="Times New Roman" w:cs="Times New Roman"/>
        </w:rPr>
        <w:t>policymakers</w:t>
      </w:r>
      <w:r w:rsidRPr="008075A4">
        <w:rPr>
          <w:rFonts w:ascii="Times New Roman" w:eastAsia="Times New Roman" w:hAnsi="Times New Roman" w:cs="Times New Roman"/>
        </w:rPr>
        <w:t xml:space="preserve"> </w:t>
      </w:r>
      <w:r w:rsidR="00D747A3" w:rsidRPr="008075A4">
        <w:rPr>
          <w:rFonts w:ascii="Times New Roman" w:eastAsia="Times New Roman" w:hAnsi="Times New Roman" w:cs="Times New Roman"/>
        </w:rPr>
        <w:t>agreeing</w:t>
      </w:r>
      <w:r w:rsidRPr="008075A4">
        <w:rPr>
          <w:rFonts w:ascii="Times New Roman" w:eastAsia="Times New Roman" w:hAnsi="Times New Roman" w:cs="Times New Roman"/>
        </w:rPr>
        <w:t xml:space="preserve"> that </w:t>
      </w:r>
      <w:r w:rsidR="00485530">
        <w:rPr>
          <w:rFonts w:ascii="Times New Roman" w:eastAsia="Times New Roman" w:hAnsi="Times New Roman" w:cs="Times New Roman"/>
        </w:rPr>
        <w:t>federal</w:t>
      </w:r>
      <w:r w:rsidR="003C5ACB">
        <w:rPr>
          <w:rFonts w:ascii="Times New Roman" w:eastAsia="Times New Roman" w:hAnsi="Times New Roman" w:cs="Times New Roman"/>
        </w:rPr>
        <w:t xml:space="preserve"> financial aid barriers </w:t>
      </w:r>
      <w:r w:rsidR="00485530">
        <w:rPr>
          <w:rFonts w:ascii="Times New Roman" w:eastAsia="Times New Roman" w:hAnsi="Times New Roman" w:cs="Times New Roman"/>
        </w:rPr>
        <w:t>rooted in</w:t>
      </w:r>
      <w:r w:rsidR="003C5ACB">
        <w:rPr>
          <w:rFonts w:ascii="Times New Roman" w:eastAsia="Times New Roman" w:hAnsi="Times New Roman" w:cs="Times New Roman"/>
        </w:rPr>
        <w:t xml:space="preserve"> </w:t>
      </w:r>
      <w:r w:rsidRPr="008075A4">
        <w:rPr>
          <w:rFonts w:ascii="Times New Roman" w:eastAsia="Times New Roman" w:hAnsi="Times New Roman" w:cs="Times New Roman"/>
        </w:rPr>
        <w:t xml:space="preserve">retributive policies do more harm than good, both fiscally and socially. </w:t>
      </w:r>
      <w:r w:rsidR="00E575F7" w:rsidRPr="008075A4">
        <w:rPr>
          <w:rFonts w:ascii="Times New Roman" w:eastAsia="Times New Roman" w:hAnsi="Times New Roman" w:cs="Times New Roman"/>
        </w:rPr>
        <w:t xml:space="preserve">Programs and policies, at </w:t>
      </w:r>
      <w:r w:rsidR="003C5ACB">
        <w:rPr>
          <w:rFonts w:ascii="Times New Roman" w:eastAsia="Times New Roman" w:hAnsi="Times New Roman" w:cs="Times New Roman"/>
        </w:rPr>
        <w:t xml:space="preserve">both </w:t>
      </w:r>
      <w:r w:rsidR="00E575F7" w:rsidRPr="008075A4">
        <w:rPr>
          <w:rFonts w:ascii="Times New Roman" w:eastAsia="Times New Roman" w:hAnsi="Times New Roman" w:cs="Times New Roman"/>
        </w:rPr>
        <w:t>state and federal levels,</w:t>
      </w:r>
      <w:r w:rsidRPr="008075A4">
        <w:rPr>
          <w:rFonts w:ascii="Times New Roman" w:eastAsia="Times New Roman" w:hAnsi="Times New Roman" w:cs="Times New Roman"/>
        </w:rPr>
        <w:t xml:space="preserve"> that </w:t>
      </w:r>
      <w:r w:rsidR="003C5ACB">
        <w:rPr>
          <w:rFonts w:ascii="Times New Roman" w:eastAsia="Times New Roman" w:hAnsi="Times New Roman" w:cs="Times New Roman"/>
        </w:rPr>
        <w:t>expand access to quality, postsecondary opportunities for incarcerated individuals</w:t>
      </w:r>
      <w:r w:rsidRPr="008075A4">
        <w:rPr>
          <w:rFonts w:ascii="Times New Roman" w:eastAsia="Times New Roman" w:hAnsi="Times New Roman" w:cs="Times New Roman"/>
        </w:rPr>
        <w:t xml:space="preserve"> </w:t>
      </w:r>
      <w:r w:rsidR="00E575F7" w:rsidRPr="008075A4">
        <w:rPr>
          <w:rFonts w:ascii="Times New Roman" w:eastAsia="Times New Roman" w:hAnsi="Times New Roman" w:cs="Times New Roman"/>
        </w:rPr>
        <w:t>lead</w:t>
      </w:r>
      <w:r w:rsidRPr="008075A4">
        <w:rPr>
          <w:rFonts w:ascii="Times New Roman" w:eastAsia="Times New Roman" w:hAnsi="Times New Roman" w:cs="Times New Roman"/>
        </w:rPr>
        <w:t xml:space="preserve"> to increased civic engagement, public safety, and social </w:t>
      </w:r>
      <w:r w:rsidR="00E575F7" w:rsidRPr="008075A4">
        <w:rPr>
          <w:rFonts w:ascii="Times New Roman" w:eastAsia="Times New Roman" w:hAnsi="Times New Roman" w:cs="Times New Roman"/>
        </w:rPr>
        <w:t>mobility</w:t>
      </w:r>
      <w:r w:rsidR="00D747A3">
        <w:rPr>
          <w:rFonts w:ascii="Times New Roman" w:eastAsia="Times New Roman" w:hAnsi="Times New Roman" w:cs="Times New Roman"/>
        </w:rPr>
        <w:t xml:space="preserve"> post-release</w:t>
      </w:r>
      <w:r w:rsidRPr="008075A4">
        <w:rPr>
          <w:rFonts w:ascii="Times New Roman" w:eastAsia="Times New Roman" w:hAnsi="Times New Roman" w:cs="Times New Roman"/>
        </w:rPr>
        <w:t>.</w:t>
      </w:r>
      <w:r w:rsidR="003E5F99" w:rsidRPr="008075A4">
        <w:rPr>
          <w:rFonts w:ascii="Times New Roman" w:eastAsia="Times New Roman" w:hAnsi="Times New Roman" w:cs="Times New Roman"/>
        </w:rPr>
        <w:t xml:space="preserve"> </w:t>
      </w:r>
      <w:r w:rsidR="00D747A3">
        <w:rPr>
          <w:rFonts w:ascii="Times New Roman" w:eastAsia="Times New Roman" w:hAnsi="Times New Roman" w:cs="Times New Roman"/>
        </w:rPr>
        <w:t>Given this idea, the</w:t>
      </w:r>
      <w:r w:rsidR="003E5F99" w:rsidRPr="008075A4">
        <w:rPr>
          <w:rFonts w:ascii="Times New Roman" w:eastAsia="Times New Roman" w:hAnsi="Times New Roman" w:cs="Times New Roman"/>
        </w:rPr>
        <w:t xml:space="preserve"> re-examination of the </w:t>
      </w:r>
      <w:r w:rsidR="003C5ACB">
        <w:rPr>
          <w:rFonts w:ascii="Times New Roman" w:eastAsia="Times New Roman" w:hAnsi="Times New Roman" w:cs="Times New Roman"/>
        </w:rPr>
        <w:t xml:space="preserve">prohibition </w:t>
      </w:r>
      <w:r w:rsidR="00485530">
        <w:rPr>
          <w:rFonts w:ascii="Times New Roman" w:eastAsia="Times New Roman" w:hAnsi="Times New Roman" w:cs="Times New Roman"/>
        </w:rPr>
        <w:t>of</w:t>
      </w:r>
      <w:r w:rsidR="003E5F99" w:rsidRPr="008075A4">
        <w:rPr>
          <w:rFonts w:ascii="Times New Roman" w:eastAsia="Times New Roman" w:hAnsi="Times New Roman" w:cs="Times New Roman"/>
        </w:rPr>
        <w:t xml:space="preserve"> Pell Grant access </w:t>
      </w:r>
      <w:r w:rsidR="00485530">
        <w:rPr>
          <w:rFonts w:ascii="Times New Roman" w:eastAsia="Times New Roman" w:hAnsi="Times New Roman" w:cs="Times New Roman"/>
        </w:rPr>
        <w:t>for</w:t>
      </w:r>
      <w:r w:rsidR="003E5F99" w:rsidRPr="008075A4">
        <w:rPr>
          <w:rFonts w:ascii="Times New Roman" w:eastAsia="Times New Roman" w:hAnsi="Times New Roman" w:cs="Times New Roman"/>
        </w:rPr>
        <w:t xml:space="preserve"> incarcerated learners is o</w:t>
      </w:r>
      <w:r w:rsidR="00945E39" w:rsidRPr="008075A4">
        <w:rPr>
          <w:rFonts w:ascii="Times New Roman" w:eastAsia="Times New Roman" w:hAnsi="Times New Roman" w:cs="Times New Roman"/>
        </w:rPr>
        <w:t xml:space="preserve">ne way to </w:t>
      </w:r>
      <w:r w:rsidR="00952BA8" w:rsidRPr="008075A4">
        <w:rPr>
          <w:rFonts w:ascii="Times New Roman" w:eastAsia="Times New Roman" w:hAnsi="Times New Roman" w:cs="Times New Roman"/>
        </w:rPr>
        <w:t xml:space="preserve">think through </w:t>
      </w:r>
      <w:r w:rsidR="003C5ACB">
        <w:rPr>
          <w:rFonts w:ascii="Times New Roman" w:eastAsia="Times New Roman" w:hAnsi="Times New Roman" w:cs="Times New Roman"/>
        </w:rPr>
        <w:t>strengthening postsecondary</w:t>
      </w:r>
      <w:r w:rsidR="00945E39" w:rsidRPr="008075A4">
        <w:rPr>
          <w:rFonts w:ascii="Times New Roman" w:eastAsia="Times New Roman" w:hAnsi="Times New Roman" w:cs="Times New Roman"/>
        </w:rPr>
        <w:t xml:space="preserve"> pathways to </w:t>
      </w:r>
      <w:r w:rsidR="00485530">
        <w:rPr>
          <w:rFonts w:ascii="Times New Roman" w:eastAsia="Times New Roman" w:hAnsi="Times New Roman" w:cs="Times New Roman"/>
        </w:rPr>
        <w:t>increased</w:t>
      </w:r>
      <w:r w:rsidR="00945E39" w:rsidRPr="008075A4">
        <w:rPr>
          <w:rFonts w:ascii="Times New Roman" w:eastAsia="Times New Roman" w:hAnsi="Times New Roman" w:cs="Times New Roman"/>
        </w:rPr>
        <w:t xml:space="preserve"> </w:t>
      </w:r>
      <w:r w:rsidR="00D747A3">
        <w:rPr>
          <w:rFonts w:ascii="Times New Roman" w:eastAsia="Times New Roman" w:hAnsi="Times New Roman" w:cs="Times New Roman"/>
        </w:rPr>
        <w:t xml:space="preserve">societal </w:t>
      </w:r>
      <w:r w:rsidR="00945E39" w:rsidRPr="008075A4">
        <w:rPr>
          <w:rFonts w:ascii="Times New Roman" w:eastAsia="Times New Roman" w:hAnsi="Times New Roman" w:cs="Times New Roman"/>
        </w:rPr>
        <w:t>gains.</w:t>
      </w:r>
    </w:p>
    <w:p w14:paraId="6B286423" w14:textId="77777777" w:rsidR="00596DBC" w:rsidRPr="008075A4" w:rsidRDefault="00596DBC" w:rsidP="002B4407">
      <w:pPr>
        <w:contextualSpacing/>
        <w:rPr>
          <w:rFonts w:ascii="Times New Roman" w:eastAsia="Times New Roman" w:hAnsi="Times New Roman" w:cs="Times New Roman"/>
        </w:rPr>
      </w:pPr>
    </w:p>
    <w:p w14:paraId="20FE305C" w14:textId="4C901C72" w:rsidR="008820D2" w:rsidRPr="008075A4" w:rsidRDefault="001B0606" w:rsidP="002B4407">
      <w:pPr>
        <w:ind w:firstLine="720"/>
        <w:contextualSpacing/>
        <w:rPr>
          <w:rFonts w:ascii="Times New Roman" w:eastAsia="Times New Roman" w:hAnsi="Times New Roman" w:cs="Times New Roman"/>
        </w:rPr>
      </w:pPr>
      <w:r w:rsidRPr="008075A4">
        <w:rPr>
          <w:rFonts w:ascii="Times New Roman" w:eastAsia="Times New Roman" w:hAnsi="Times New Roman" w:cs="Times New Roman"/>
        </w:rPr>
        <w:t xml:space="preserve">Current HEA reauthorization discussions offer the opportunity to thoughtfully explore the impact of </w:t>
      </w:r>
      <w:r w:rsidR="00922B32">
        <w:rPr>
          <w:rFonts w:ascii="Times New Roman" w:eastAsia="Times New Roman" w:hAnsi="Times New Roman" w:cs="Times New Roman"/>
        </w:rPr>
        <w:t>f</w:t>
      </w:r>
      <w:r w:rsidRPr="008075A4">
        <w:rPr>
          <w:rFonts w:ascii="Times New Roman" w:eastAsia="Times New Roman" w:hAnsi="Times New Roman" w:cs="Times New Roman"/>
        </w:rPr>
        <w:t xml:space="preserve">ederal Pell Grants and answer the question of whether access to this need-based financial aid mechanism has, in fact, increased equitable access to postsecondary opportunities. While the Pell Grant has provided financial relief for many families, educational attainment gaps persist across several identity indicators. Joint work between The Pell Institute and the Penn AHEAD Center </w:t>
      </w:r>
      <w:sdt>
        <w:sdtPr>
          <w:rPr>
            <w:rFonts w:ascii="Times New Roman" w:hAnsi="Times New Roman" w:cs="Times New Roman"/>
          </w:rPr>
          <w:id w:val="-1252202670"/>
          <w:citation/>
        </w:sdtPr>
        <w:sdtEndPr/>
        <w:sdtContent>
          <w:r w:rsidRPr="008E04F3">
            <w:rPr>
              <w:rFonts w:ascii="Times New Roman" w:hAnsi="Times New Roman" w:cs="Times New Roman"/>
            </w:rPr>
            <w:fldChar w:fldCharType="begin"/>
          </w:r>
          <w:r w:rsidRPr="008075A4">
            <w:rPr>
              <w:rFonts w:ascii="Times New Roman" w:hAnsi="Times New Roman" w:cs="Times New Roman"/>
            </w:rPr>
            <w:instrText xml:space="preserve"> CITATION Penn \l 1033 </w:instrText>
          </w:r>
          <w:r w:rsidRPr="008E04F3">
            <w:rPr>
              <w:rFonts w:ascii="Times New Roman" w:hAnsi="Times New Roman" w:cs="Times New Roman"/>
            </w:rPr>
            <w:fldChar w:fldCharType="separate"/>
          </w:r>
          <w:r w:rsidRPr="008075A4">
            <w:rPr>
              <w:rFonts w:ascii="Times New Roman" w:hAnsi="Times New Roman" w:cs="Times New Roman"/>
              <w:noProof/>
            </w:rPr>
            <w:t>(Cahalan, et al. 2018)</w:t>
          </w:r>
          <w:r w:rsidRPr="008E04F3">
            <w:rPr>
              <w:rFonts w:ascii="Times New Roman" w:hAnsi="Times New Roman" w:cs="Times New Roman"/>
            </w:rPr>
            <w:fldChar w:fldCharType="end"/>
          </w:r>
        </w:sdtContent>
      </w:sdt>
      <w:r w:rsidRPr="008075A4">
        <w:rPr>
          <w:rFonts w:ascii="Times New Roman" w:eastAsia="Times New Roman" w:hAnsi="Times New Roman" w:cs="Times New Roman"/>
        </w:rPr>
        <w:t xml:space="preserve"> examines equity indicators in higher education</w:t>
      </w:r>
      <w:r w:rsidR="00485530">
        <w:rPr>
          <w:rFonts w:ascii="Times New Roman" w:eastAsia="Times New Roman" w:hAnsi="Times New Roman" w:cs="Times New Roman"/>
        </w:rPr>
        <w:t xml:space="preserve">; the </w:t>
      </w:r>
      <w:r w:rsidRPr="008075A4">
        <w:rPr>
          <w:rFonts w:ascii="Times New Roman" w:eastAsia="Times New Roman" w:hAnsi="Times New Roman" w:cs="Times New Roman"/>
        </w:rPr>
        <w:t xml:space="preserve">data </w:t>
      </w:r>
      <w:r w:rsidR="45B1FE85" w:rsidRPr="008075A4">
        <w:rPr>
          <w:rFonts w:ascii="Times New Roman" w:eastAsia="Times New Roman" w:hAnsi="Times New Roman" w:cs="Times New Roman"/>
        </w:rPr>
        <w:t>assert that little</w:t>
      </w:r>
      <w:r w:rsidRPr="008075A4">
        <w:rPr>
          <w:rFonts w:ascii="Times New Roman" w:eastAsia="Times New Roman" w:hAnsi="Times New Roman" w:cs="Times New Roman"/>
        </w:rPr>
        <w:t xml:space="preserve"> has changed since the 1970s</w:t>
      </w:r>
      <w:sdt>
        <w:sdtPr>
          <w:rPr>
            <w:rFonts w:ascii="Times New Roman" w:hAnsi="Times New Roman" w:cs="Times New Roman"/>
          </w:rPr>
          <w:id w:val="-1644036231"/>
          <w:citation/>
        </w:sdtPr>
        <w:sdtEndPr/>
        <w:sdtContent>
          <w:r w:rsidRPr="008E04F3">
            <w:rPr>
              <w:rFonts w:ascii="Times New Roman" w:hAnsi="Times New Roman" w:cs="Times New Roman"/>
            </w:rPr>
            <w:fldChar w:fldCharType="begin"/>
          </w:r>
          <w:r w:rsidRPr="008075A4">
            <w:rPr>
              <w:rFonts w:ascii="Times New Roman" w:hAnsi="Times New Roman" w:cs="Times New Roman"/>
            </w:rPr>
            <w:instrText xml:space="preserve"> CITATION Penn \l 1033 </w:instrText>
          </w:r>
          <w:r w:rsidRPr="008E04F3">
            <w:rPr>
              <w:rFonts w:ascii="Times New Roman" w:hAnsi="Times New Roman" w:cs="Times New Roman"/>
            </w:rPr>
            <w:fldChar w:fldCharType="separate"/>
          </w:r>
          <w:r w:rsidRPr="008075A4">
            <w:rPr>
              <w:rFonts w:ascii="Times New Roman" w:hAnsi="Times New Roman" w:cs="Times New Roman"/>
              <w:noProof/>
            </w:rPr>
            <w:t xml:space="preserve"> (Cahalan, et al. 2018)</w:t>
          </w:r>
          <w:r w:rsidRPr="008E04F3">
            <w:rPr>
              <w:rFonts w:ascii="Times New Roman" w:hAnsi="Times New Roman" w:cs="Times New Roman"/>
            </w:rPr>
            <w:fldChar w:fldCharType="end"/>
          </w:r>
        </w:sdtContent>
      </w:sdt>
      <w:r w:rsidRPr="008075A4">
        <w:rPr>
          <w:rFonts w:ascii="Times New Roman" w:eastAsia="Times New Roman" w:hAnsi="Times New Roman" w:cs="Times New Roman"/>
        </w:rPr>
        <w:t xml:space="preserve">. Postsecondary enrollment trends continue to indicate that students from </w:t>
      </w:r>
      <w:r w:rsidR="009306DE" w:rsidRPr="008075A4">
        <w:rPr>
          <w:rFonts w:ascii="Times New Roman" w:eastAsia="Times New Roman" w:hAnsi="Times New Roman" w:cs="Times New Roman"/>
        </w:rPr>
        <w:t>wealthier</w:t>
      </w:r>
      <w:r w:rsidRPr="008075A4">
        <w:rPr>
          <w:rFonts w:ascii="Times New Roman" w:eastAsia="Times New Roman" w:hAnsi="Times New Roman" w:cs="Times New Roman"/>
        </w:rPr>
        <w:t xml:space="preserve"> families enroll in postsecondary </w:t>
      </w:r>
      <w:r w:rsidR="45B1FE85" w:rsidRPr="008075A4">
        <w:rPr>
          <w:rFonts w:ascii="Times New Roman" w:eastAsia="Times New Roman" w:hAnsi="Times New Roman" w:cs="Times New Roman"/>
        </w:rPr>
        <w:t xml:space="preserve">education </w:t>
      </w:r>
      <w:r w:rsidRPr="008075A4">
        <w:rPr>
          <w:rFonts w:ascii="Times New Roman" w:eastAsia="Times New Roman" w:hAnsi="Times New Roman" w:cs="Times New Roman"/>
        </w:rPr>
        <w:t>at higher rates, although the differences have decreased over time. Yet, when considering enrollment rates by race</w:t>
      </w:r>
      <w:r w:rsidR="009306DE" w:rsidRPr="008075A4">
        <w:rPr>
          <w:rFonts w:ascii="Times New Roman" w:eastAsia="Times New Roman" w:hAnsi="Times New Roman" w:cs="Times New Roman"/>
        </w:rPr>
        <w:t xml:space="preserve"> and </w:t>
      </w:r>
      <w:r w:rsidRPr="008075A4">
        <w:rPr>
          <w:rFonts w:ascii="Times New Roman" w:eastAsia="Times New Roman" w:hAnsi="Times New Roman" w:cs="Times New Roman"/>
        </w:rPr>
        <w:t xml:space="preserve">ethnicity, </w:t>
      </w:r>
      <w:r w:rsidR="00202948" w:rsidRPr="008075A4">
        <w:rPr>
          <w:rFonts w:ascii="Times New Roman" w:eastAsia="Times New Roman" w:hAnsi="Times New Roman" w:cs="Times New Roman"/>
        </w:rPr>
        <w:t>B</w:t>
      </w:r>
      <w:r w:rsidRPr="008075A4">
        <w:rPr>
          <w:rFonts w:ascii="Times New Roman" w:eastAsia="Times New Roman" w:hAnsi="Times New Roman" w:cs="Times New Roman"/>
        </w:rPr>
        <w:t>lack and Hispanic students</w:t>
      </w:r>
      <w:r w:rsidR="00F17710" w:rsidRPr="008075A4">
        <w:rPr>
          <w:rFonts w:ascii="Times New Roman" w:eastAsia="Times New Roman" w:hAnsi="Times New Roman" w:cs="Times New Roman"/>
        </w:rPr>
        <w:t xml:space="preserve"> </w:t>
      </w:r>
      <w:r w:rsidRPr="008075A4">
        <w:rPr>
          <w:rFonts w:ascii="Times New Roman" w:eastAsia="Times New Roman" w:hAnsi="Times New Roman" w:cs="Times New Roman"/>
        </w:rPr>
        <w:t xml:space="preserve">enroll at significantly lower rates than their White counterparts </w:t>
      </w:r>
      <w:sdt>
        <w:sdtPr>
          <w:rPr>
            <w:rFonts w:ascii="Times New Roman" w:hAnsi="Times New Roman" w:cs="Times New Roman"/>
          </w:rPr>
          <w:id w:val="774828206"/>
          <w:citation/>
        </w:sdtPr>
        <w:sdtEndPr/>
        <w:sdtContent>
          <w:r w:rsidRPr="008E04F3">
            <w:rPr>
              <w:rFonts w:ascii="Times New Roman" w:hAnsi="Times New Roman" w:cs="Times New Roman"/>
            </w:rPr>
            <w:fldChar w:fldCharType="begin"/>
          </w:r>
          <w:r w:rsidRPr="008075A4">
            <w:rPr>
              <w:rFonts w:ascii="Times New Roman" w:hAnsi="Times New Roman" w:cs="Times New Roman"/>
            </w:rPr>
            <w:instrText xml:space="preserve"> CITATION Penn \l 1033 </w:instrText>
          </w:r>
          <w:r w:rsidRPr="008E04F3">
            <w:rPr>
              <w:rFonts w:ascii="Times New Roman" w:hAnsi="Times New Roman" w:cs="Times New Roman"/>
            </w:rPr>
            <w:fldChar w:fldCharType="separate"/>
          </w:r>
          <w:r w:rsidRPr="008075A4">
            <w:rPr>
              <w:rFonts w:ascii="Times New Roman" w:hAnsi="Times New Roman" w:cs="Times New Roman"/>
              <w:noProof/>
            </w:rPr>
            <w:t>(Cahalan, et al. 2018)</w:t>
          </w:r>
          <w:r w:rsidRPr="008E04F3">
            <w:rPr>
              <w:rFonts w:ascii="Times New Roman" w:hAnsi="Times New Roman" w:cs="Times New Roman"/>
            </w:rPr>
            <w:fldChar w:fldCharType="end"/>
          </w:r>
        </w:sdtContent>
      </w:sdt>
      <w:r w:rsidRPr="008075A4">
        <w:rPr>
          <w:rFonts w:ascii="Times New Roman" w:eastAsia="Times New Roman" w:hAnsi="Times New Roman" w:cs="Times New Roman"/>
        </w:rPr>
        <w:t xml:space="preserve">. While it seems that Pell is slowly closing access gaps along some equity indicators </w:t>
      </w:r>
      <w:r w:rsidR="08E236F6" w:rsidRPr="008075A4">
        <w:rPr>
          <w:rFonts w:ascii="Times New Roman" w:eastAsia="Times New Roman" w:hAnsi="Times New Roman" w:cs="Times New Roman"/>
        </w:rPr>
        <w:t xml:space="preserve">such as </w:t>
      </w:r>
      <w:r w:rsidRPr="008075A4">
        <w:rPr>
          <w:rFonts w:ascii="Times New Roman" w:eastAsia="Times New Roman" w:hAnsi="Times New Roman" w:cs="Times New Roman"/>
        </w:rPr>
        <w:t xml:space="preserve">income, a significant gap in </w:t>
      </w:r>
      <w:r w:rsidR="00485530">
        <w:rPr>
          <w:rFonts w:ascii="Times New Roman" w:eastAsia="Times New Roman" w:hAnsi="Times New Roman" w:cs="Times New Roman"/>
        </w:rPr>
        <w:t xml:space="preserve">postsecondary </w:t>
      </w:r>
      <w:r w:rsidRPr="008075A4">
        <w:rPr>
          <w:rFonts w:ascii="Times New Roman" w:eastAsia="Times New Roman" w:hAnsi="Times New Roman" w:cs="Times New Roman"/>
        </w:rPr>
        <w:t>access along race</w:t>
      </w:r>
      <w:r w:rsidR="00F17710" w:rsidRPr="008075A4">
        <w:rPr>
          <w:rFonts w:ascii="Times New Roman" w:eastAsia="Times New Roman" w:hAnsi="Times New Roman" w:cs="Times New Roman"/>
        </w:rPr>
        <w:t xml:space="preserve"> and e</w:t>
      </w:r>
      <w:r w:rsidRPr="008075A4">
        <w:rPr>
          <w:rFonts w:ascii="Times New Roman" w:eastAsia="Times New Roman" w:hAnsi="Times New Roman" w:cs="Times New Roman"/>
        </w:rPr>
        <w:t>thnic lines</w:t>
      </w:r>
      <w:r w:rsidR="2450D54A" w:rsidRPr="008075A4">
        <w:rPr>
          <w:rFonts w:ascii="Times New Roman" w:eastAsia="Times New Roman" w:hAnsi="Times New Roman" w:cs="Times New Roman"/>
        </w:rPr>
        <w:t xml:space="preserve"> persists</w:t>
      </w:r>
      <w:r w:rsidRPr="008075A4">
        <w:rPr>
          <w:rFonts w:ascii="Times New Roman" w:eastAsia="Times New Roman" w:hAnsi="Times New Roman" w:cs="Times New Roman"/>
        </w:rPr>
        <w:t>. How, then, might Pell dollars be better leveraged to substantively address these gaps? The solution proposed herein is the reinstatement of Pell Grant access for incarcerated learners</w:t>
      </w:r>
      <w:r w:rsidR="00F17710" w:rsidRPr="008075A4">
        <w:rPr>
          <w:rFonts w:ascii="Times New Roman" w:eastAsia="Times New Roman" w:hAnsi="Times New Roman" w:cs="Times New Roman"/>
        </w:rPr>
        <w:t xml:space="preserve"> </w:t>
      </w:r>
      <w:r w:rsidR="00485530">
        <w:rPr>
          <w:rFonts w:ascii="Times New Roman" w:eastAsia="Times New Roman" w:hAnsi="Times New Roman" w:cs="Times New Roman"/>
        </w:rPr>
        <w:t>with a</w:t>
      </w:r>
      <w:r w:rsidRPr="008075A4">
        <w:rPr>
          <w:rFonts w:ascii="Times New Roman" w:eastAsia="Times New Roman" w:hAnsi="Times New Roman" w:cs="Times New Roman"/>
        </w:rPr>
        <w:t xml:space="preserve"> lifting of the </w:t>
      </w:r>
      <w:r w:rsidR="00485530">
        <w:rPr>
          <w:rFonts w:ascii="Times New Roman" w:eastAsia="Times New Roman" w:hAnsi="Times New Roman" w:cs="Times New Roman"/>
        </w:rPr>
        <w:t xml:space="preserve">1994 </w:t>
      </w:r>
      <w:r w:rsidRPr="008075A4">
        <w:rPr>
          <w:rFonts w:ascii="Times New Roman" w:eastAsia="Times New Roman" w:hAnsi="Times New Roman" w:cs="Times New Roman"/>
        </w:rPr>
        <w:t>ban</w:t>
      </w:r>
      <w:r w:rsidR="00F17710" w:rsidRPr="008075A4">
        <w:rPr>
          <w:rFonts w:ascii="Times New Roman" w:eastAsia="Times New Roman" w:hAnsi="Times New Roman" w:cs="Times New Roman"/>
        </w:rPr>
        <w:t>.</w:t>
      </w:r>
    </w:p>
    <w:p w14:paraId="7C0E2D74" w14:textId="77777777" w:rsidR="002B4407" w:rsidRDefault="002B4407" w:rsidP="002B4407">
      <w:pPr>
        <w:contextualSpacing/>
        <w:rPr>
          <w:rFonts w:ascii="Times New Roman" w:eastAsia="Times New Roman" w:hAnsi="Times New Roman" w:cs="Times New Roman"/>
          <w:b/>
          <w:bCs/>
          <w:i/>
          <w:iCs/>
        </w:rPr>
      </w:pPr>
    </w:p>
    <w:p w14:paraId="455F0C86" w14:textId="4CEED686" w:rsidR="008820D2" w:rsidRDefault="00D26D3B" w:rsidP="002B4407">
      <w:pPr>
        <w:contextualSpacing/>
        <w:rPr>
          <w:rFonts w:ascii="Times New Roman" w:eastAsia="Times New Roman" w:hAnsi="Times New Roman" w:cs="Times New Roman"/>
          <w:b/>
          <w:bCs/>
          <w:i/>
          <w:iCs/>
        </w:rPr>
      </w:pPr>
      <w:r w:rsidRPr="008075A4">
        <w:rPr>
          <w:rFonts w:ascii="Times New Roman" w:eastAsia="Times New Roman" w:hAnsi="Times New Roman" w:cs="Times New Roman"/>
          <w:b/>
          <w:bCs/>
          <w:i/>
          <w:iCs/>
        </w:rPr>
        <w:t xml:space="preserve">The </w:t>
      </w:r>
      <w:r w:rsidR="00FA5DDA">
        <w:rPr>
          <w:rFonts w:ascii="Times New Roman" w:eastAsia="Times New Roman" w:hAnsi="Times New Roman" w:cs="Times New Roman"/>
          <w:b/>
          <w:bCs/>
          <w:i/>
          <w:iCs/>
        </w:rPr>
        <w:t>Historical</w:t>
      </w:r>
      <w:r w:rsidR="00FA5DDA" w:rsidRPr="008075A4">
        <w:rPr>
          <w:rFonts w:ascii="Times New Roman" w:eastAsia="Times New Roman" w:hAnsi="Times New Roman" w:cs="Times New Roman"/>
          <w:b/>
          <w:bCs/>
          <w:i/>
          <w:iCs/>
        </w:rPr>
        <w:t xml:space="preserve"> </w:t>
      </w:r>
      <w:r w:rsidR="00FA5DDA">
        <w:rPr>
          <w:rFonts w:ascii="Times New Roman" w:eastAsia="Times New Roman" w:hAnsi="Times New Roman" w:cs="Times New Roman"/>
          <w:b/>
          <w:bCs/>
          <w:i/>
          <w:iCs/>
        </w:rPr>
        <w:t>Need</w:t>
      </w:r>
      <w:r w:rsidR="00FA5DDA" w:rsidRPr="008075A4">
        <w:rPr>
          <w:rFonts w:ascii="Times New Roman" w:eastAsia="Times New Roman" w:hAnsi="Times New Roman" w:cs="Times New Roman"/>
          <w:b/>
          <w:bCs/>
          <w:i/>
          <w:iCs/>
        </w:rPr>
        <w:t xml:space="preserve"> </w:t>
      </w:r>
      <w:r w:rsidRPr="008075A4">
        <w:rPr>
          <w:rFonts w:ascii="Times New Roman" w:eastAsia="Times New Roman" w:hAnsi="Times New Roman" w:cs="Times New Roman"/>
          <w:b/>
          <w:bCs/>
          <w:i/>
          <w:iCs/>
        </w:rPr>
        <w:t>for Pell Grants</w:t>
      </w:r>
    </w:p>
    <w:p w14:paraId="07967DB7" w14:textId="77777777" w:rsidR="00596DBC" w:rsidRPr="008075A4" w:rsidRDefault="00596DBC" w:rsidP="002B4407">
      <w:pPr>
        <w:contextualSpacing/>
        <w:rPr>
          <w:rFonts w:ascii="Times New Roman" w:eastAsia="Times New Roman" w:hAnsi="Times New Roman" w:cs="Times New Roman"/>
          <w:b/>
          <w:bCs/>
          <w:i/>
          <w:iCs/>
        </w:rPr>
      </w:pPr>
    </w:p>
    <w:p w14:paraId="0A70DD9D" w14:textId="3B542FE8" w:rsidR="00283EBB" w:rsidRDefault="00CF5FE6" w:rsidP="002B4407">
      <w:pPr>
        <w:ind w:firstLine="720"/>
        <w:contextualSpacing/>
        <w:rPr>
          <w:rFonts w:ascii="Times New Roman" w:eastAsia="Times New Roman" w:hAnsi="Times New Roman" w:cs="Times New Roman"/>
        </w:rPr>
      </w:pPr>
      <w:r w:rsidRPr="008075A4">
        <w:rPr>
          <w:rFonts w:ascii="Times New Roman" w:eastAsia="Times New Roman" w:hAnsi="Times New Roman" w:cs="Times New Roman"/>
        </w:rPr>
        <w:t xml:space="preserve">The history of </w:t>
      </w:r>
      <w:r w:rsidR="002A368F" w:rsidRPr="008075A4">
        <w:rPr>
          <w:rFonts w:ascii="Times New Roman" w:eastAsia="Times New Roman" w:hAnsi="Times New Roman" w:cs="Times New Roman"/>
        </w:rPr>
        <w:t xml:space="preserve">equitable </w:t>
      </w:r>
      <w:r w:rsidRPr="008075A4">
        <w:rPr>
          <w:rFonts w:ascii="Times New Roman" w:eastAsia="Times New Roman" w:hAnsi="Times New Roman" w:cs="Times New Roman"/>
        </w:rPr>
        <w:t>high</w:t>
      </w:r>
      <w:r w:rsidR="00857F90" w:rsidRPr="008075A4">
        <w:rPr>
          <w:rFonts w:ascii="Times New Roman" w:eastAsia="Times New Roman" w:hAnsi="Times New Roman" w:cs="Times New Roman"/>
        </w:rPr>
        <w:t>er education access</w:t>
      </w:r>
      <w:r w:rsidRPr="008075A4">
        <w:rPr>
          <w:rFonts w:ascii="Times New Roman" w:eastAsia="Times New Roman" w:hAnsi="Times New Roman" w:cs="Times New Roman"/>
        </w:rPr>
        <w:t xml:space="preserve"> in the United States is</w:t>
      </w:r>
      <w:r w:rsidR="00857F90" w:rsidRPr="008075A4">
        <w:rPr>
          <w:rFonts w:ascii="Times New Roman" w:eastAsia="Times New Roman" w:hAnsi="Times New Roman" w:cs="Times New Roman"/>
        </w:rPr>
        <w:t xml:space="preserve"> complex</w:t>
      </w:r>
      <w:r w:rsidR="002344D6" w:rsidRPr="008075A4">
        <w:rPr>
          <w:rFonts w:ascii="Times New Roman" w:eastAsia="Times New Roman" w:hAnsi="Times New Roman" w:cs="Times New Roman"/>
        </w:rPr>
        <w:t xml:space="preserve"> and the need to legislate the inclusion of certain population subgroups </w:t>
      </w:r>
      <w:r w:rsidR="00633A58" w:rsidRPr="008075A4">
        <w:rPr>
          <w:rFonts w:ascii="Times New Roman" w:eastAsia="Times New Roman" w:hAnsi="Times New Roman" w:cs="Times New Roman"/>
        </w:rPr>
        <w:t>is historically rooted</w:t>
      </w:r>
      <w:r w:rsidR="00857F90" w:rsidRPr="008075A4">
        <w:rPr>
          <w:rFonts w:ascii="Times New Roman" w:eastAsia="Times New Roman" w:hAnsi="Times New Roman" w:cs="Times New Roman"/>
        </w:rPr>
        <w:t xml:space="preserve">. </w:t>
      </w:r>
      <w:r w:rsidR="00AE6961" w:rsidRPr="008075A4">
        <w:rPr>
          <w:rFonts w:ascii="Times New Roman" w:eastAsia="Times New Roman" w:hAnsi="Times New Roman" w:cs="Times New Roman"/>
        </w:rPr>
        <w:t>Arguably until</w:t>
      </w:r>
      <w:r w:rsidR="7E1C8670" w:rsidRPr="008075A4">
        <w:rPr>
          <w:rFonts w:ascii="Times New Roman" w:eastAsia="Times New Roman" w:hAnsi="Times New Roman" w:cs="Times New Roman"/>
        </w:rPr>
        <w:t xml:space="preserve"> </w:t>
      </w:r>
      <w:r w:rsidR="676222FF" w:rsidRPr="008075A4">
        <w:rPr>
          <w:rFonts w:ascii="Times New Roman" w:eastAsia="Times New Roman" w:hAnsi="Times New Roman" w:cs="Times New Roman"/>
        </w:rPr>
        <w:t>1862</w:t>
      </w:r>
      <w:r w:rsidR="00517C1B" w:rsidRPr="008075A4">
        <w:rPr>
          <w:rFonts w:ascii="Times New Roman" w:eastAsia="Times New Roman" w:hAnsi="Times New Roman" w:cs="Times New Roman"/>
        </w:rPr>
        <w:t xml:space="preserve"> </w:t>
      </w:r>
      <w:r w:rsidR="00E6127A" w:rsidRPr="008075A4">
        <w:rPr>
          <w:rFonts w:ascii="Times New Roman" w:eastAsia="Times New Roman" w:hAnsi="Times New Roman" w:cs="Times New Roman"/>
        </w:rPr>
        <w:t xml:space="preserve">– </w:t>
      </w:r>
      <w:r w:rsidR="7E1C8670" w:rsidRPr="008075A4">
        <w:rPr>
          <w:rFonts w:ascii="Times New Roman" w:eastAsia="Times New Roman" w:hAnsi="Times New Roman" w:cs="Times New Roman"/>
        </w:rPr>
        <w:t>when the</w:t>
      </w:r>
      <w:r w:rsidR="676222FF" w:rsidRPr="008075A4">
        <w:rPr>
          <w:rFonts w:ascii="Times New Roman" w:eastAsia="Times New Roman" w:hAnsi="Times New Roman" w:cs="Times New Roman"/>
        </w:rPr>
        <w:t xml:space="preserve"> </w:t>
      </w:r>
      <w:r w:rsidR="00AE6961" w:rsidRPr="008075A4">
        <w:rPr>
          <w:rFonts w:ascii="Times New Roman" w:eastAsia="Times New Roman" w:hAnsi="Times New Roman" w:cs="Times New Roman"/>
        </w:rPr>
        <w:t>first Morrill Act</w:t>
      </w:r>
      <w:r w:rsidR="7E6FE294" w:rsidRPr="008075A4">
        <w:rPr>
          <w:rFonts w:ascii="Times New Roman" w:eastAsia="Times New Roman" w:hAnsi="Times New Roman" w:cs="Times New Roman"/>
        </w:rPr>
        <w:t xml:space="preserve">, 7 U.S.C.S. </w:t>
      </w:r>
      <w:r w:rsidR="25ECAEAE" w:rsidRPr="008075A4">
        <w:rPr>
          <w:rFonts w:ascii="Times New Roman" w:eastAsia="Times New Roman" w:hAnsi="Times New Roman" w:cs="Times New Roman"/>
          <w:color w:val="222222"/>
        </w:rPr>
        <w:t>§ 301</w:t>
      </w:r>
      <w:r w:rsidR="7E1C8670" w:rsidRPr="008075A4">
        <w:rPr>
          <w:rFonts w:ascii="Times New Roman" w:eastAsia="Times New Roman" w:hAnsi="Times New Roman" w:cs="Times New Roman"/>
          <w:color w:val="222222"/>
        </w:rPr>
        <w:t>,</w:t>
      </w:r>
      <w:r w:rsidR="14B7CC0F" w:rsidRPr="008075A4">
        <w:rPr>
          <w:rFonts w:ascii="Times New Roman" w:eastAsia="Times New Roman" w:hAnsi="Times New Roman" w:cs="Times New Roman"/>
        </w:rPr>
        <w:t xml:space="preserve"> created public land-grant universities</w:t>
      </w:r>
      <w:r w:rsidR="00517C1B" w:rsidRPr="008075A4">
        <w:rPr>
          <w:rFonts w:ascii="Times New Roman" w:eastAsia="Times New Roman" w:hAnsi="Times New Roman" w:cs="Times New Roman"/>
        </w:rPr>
        <w:t xml:space="preserve"> </w:t>
      </w:r>
      <w:r w:rsidR="00E6127A" w:rsidRPr="008075A4">
        <w:rPr>
          <w:rFonts w:ascii="Times New Roman" w:eastAsia="Times New Roman" w:hAnsi="Times New Roman" w:cs="Times New Roman"/>
        </w:rPr>
        <w:t xml:space="preserve">– </w:t>
      </w:r>
      <w:r w:rsidR="00B828F7" w:rsidRPr="008075A4">
        <w:rPr>
          <w:rFonts w:ascii="Times New Roman" w:eastAsia="Times New Roman" w:hAnsi="Times New Roman" w:cs="Times New Roman"/>
        </w:rPr>
        <w:t>ent</w:t>
      </w:r>
      <w:r w:rsidR="695E277A" w:rsidRPr="008075A4">
        <w:rPr>
          <w:rFonts w:ascii="Times New Roman" w:eastAsia="Times New Roman" w:hAnsi="Times New Roman" w:cs="Times New Roman"/>
        </w:rPr>
        <w:t>ry t</w:t>
      </w:r>
      <w:r w:rsidR="00B828F7" w:rsidRPr="008075A4">
        <w:rPr>
          <w:rFonts w:ascii="Times New Roman" w:eastAsia="Times New Roman" w:hAnsi="Times New Roman" w:cs="Times New Roman"/>
        </w:rPr>
        <w:t xml:space="preserve">o </w:t>
      </w:r>
      <w:r w:rsidR="695E277A" w:rsidRPr="008075A4">
        <w:rPr>
          <w:rFonts w:ascii="Times New Roman" w:eastAsia="Times New Roman" w:hAnsi="Times New Roman" w:cs="Times New Roman"/>
        </w:rPr>
        <w:t>the select few</w:t>
      </w:r>
      <w:r w:rsidR="004A2996" w:rsidRPr="008075A4">
        <w:rPr>
          <w:rFonts w:ascii="Times New Roman" w:eastAsia="Times New Roman" w:hAnsi="Times New Roman" w:cs="Times New Roman"/>
        </w:rPr>
        <w:t xml:space="preserve"> </w:t>
      </w:r>
      <w:r w:rsidR="695E277A" w:rsidRPr="008075A4">
        <w:rPr>
          <w:rFonts w:ascii="Times New Roman" w:eastAsia="Times New Roman" w:hAnsi="Times New Roman" w:cs="Times New Roman"/>
        </w:rPr>
        <w:t xml:space="preserve">elite </w:t>
      </w:r>
      <w:r w:rsidR="00B828F7" w:rsidRPr="008075A4">
        <w:rPr>
          <w:rFonts w:ascii="Times New Roman" w:eastAsia="Times New Roman" w:hAnsi="Times New Roman" w:cs="Times New Roman"/>
        </w:rPr>
        <w:t xml:space="preserve">postsecondary </w:t>
      </w:r>
      <w:r w:rsidR="695E277A" w:rsidRPr="008075A4">
        <w:rPr>
          <w:rFonts w:ascii="Times New Roman" w:eastAsia="Times New Roman" w:hAnsi="Times New Roman" w:cs="Times New Roman"/>
        </w:rPr>
        <w:t xml:space="preserve">institutions </w:t>
      </w:r>
      <w:r w:rsidR="00B828F7" w:rsidRPr="008075A4">
        <w:rPr>
          <w:rFonts w:ascii="Times New Roman" w:eastAsia="Times New Roman" w:hAnsi="Times New Roman" w:cs="Times New Roman"/>
        </w:rPr>
        <w:t xml:space="preserve">was </w:t>
      </w:r>
      <w:r w:rsidR="693DC237" w:rsidRPr="008075A4">
        <w:rPr>
          <w:rFonts w:ascii="Times New Roman" w:eastAsia="Times New Roman" w:hAnsi="Times New Roman" w:cs="Times New Roman"/>
        </w:rPr>
        <w:t xml:space="preserve">primarily </w:t>
      </w:r>
      <w:r w:rsidR="00B828F7" w:rsidRPr="008075A4">
        <w:rPr>
          <w:rFonts w:ascii="Times New Roman" w:eastAsia="Times New Roman" w:hAnsi="Times New Roman" w:cs="Times New Roman"/>
        </w:rPr>
        <w:t>limited</w:t>
      </w:r>
      <w:r w:rsidR="00AC19DA" w:rsidRPr="008075A4">
        <w:rPr>
          <w:rFonts w:ascii="Times New Roman" w:eastAsia="Times New Roman" w:hAnsi="Times New Roman" w:cs="Times New Roman"/>
        </w:rPr>
        <w:t xml:space="preserve"> </w:t>
      </w:r>
      <w:r w:rsidR="3DCB7156" w:rsidRPr="008075A4">
        <w:rPr>
          <w:rFonts w:ascii="Times New Roman" w:eastAsia="Times New Roman" w:hAnsi="Times New Roman" w:cs="Times New Roman"/>
        </w:rPr>
        <w:t>to</w:t>
      </w:r>
      <w:r w:rsidR="00E72049" w:rsidRPr="008075A4">
        <w:rPr>
          <w:rFonts w:ascii="Times New Roman" w:eastAsia="Times New Roman" w:hAnsi="Times New Roman" w:cs="Times New Roman"/>
        </w:rPr>
        <w:t xml:space="preserve"> </w:t>
      </w:r>
      <w:r w:rsidR="006916AA" w:rsidRPr="008075A4">
        <w:rPr>
          <w:rFonts w:ascii="Times New Roman" w:eastAsia="Times New Roman" w:hAnsi="Times New Roman" w:cs="Times New Roman"/>
        </w:rPr>
        <w:t>upper-income</w:t>
      </w:r>
      <w:r w:rsidR="00872ABB" w:rsidRPr="008075A4" w:rsidDel="00872ABB">
        <w:rPr>
          <w:rFonts w:ascii="Times New Roman" w:eastAsia="Times New Roman" w:hAnsi="Times New Roman" w:cs="Times New Roman"/>
        </w:rPr>
        <w:t xml:space="preserve"> </w:t>
      </w:r>
      <w:r w:rsidR="006916AA" w:rsidRPr="008075A4">
        <w:rPr>
          <w:rFonts w:ascii="Times New Roman" w:eastAsia="Times New Roman" w:hAnsi="Times New Roman" w:cs="Times New Roman"/>
        </w:rPr>
        <w:t>White</w:t>
      </w:r>
      <w:r w:rsidR="00AC19DA" w:rsidRPr="008075A4">
        <w:rPr>
          <w:rFonts w:ascii="Times New Roman" w:eastAsia="Times New Roman" w:hAnsi="Times New Roman" w:cs="Times New Roman"/>
        </w:rPr>
        <w:t xml:space="preserve"> </w:t>
      </w:r>
      <w:r w:rsidR="00E72049" w:rsidRPr="008075A4">
        <w:rPr>
          <w:rFonts w:ascii="Times New Roman" w:eastAsia="Times New Roman" w:hAnsi="Times New Roman" w:cs="Times New Roman"/>
        </w:rPr>
        <w:t>men</w:t>
      </w:r>
      <w:r w:rsidR="2D333EEA" w:rsidRPr="008075A4">
        <w:rPr>
          <w:rFonts w:ascii="Times New Roman" w:eastAsia="Times New Roman" w:hAnsi="Times New Roman" w:cs="Times New Roman"/>
        </w:rPr>
        <w:t>; however, this Act allowe</w:t>
      </w:r>
      <w:r w:rsidR="54E3E7AE" w:rsidRPr="008075A4">
        <w:rPr>
          <w:rFonts w:ascii="Times New Roman" w:eastAsia="Times New Roman" w:hAnsi="Times New Roman" w:cs="Times New Roman"/>
        </w:rPr>
        <w:t xml:space="preserve">d the </w:t>
      </w:r>
      <w:r w:rsidR="754B5698" w:rsidRPr="008075A4">
        <w:rPr>
          <w:rFonts w:ascii="Times New Roman" w:eastAsia="Times New Roman" w:hAnsi="Times New Roman" w:cs="Times New Roman"/>
        </w:rPr>
        <w:t>s</w:t>
      </w:r>
      <w:r w:rsidR="54E3E7AE" w:rsidRPr="008075A4">
        <w:rPr>
          <w:rFonts w:ascii="Times New Roman" w:eastAsia="Times New Roman" w:hAnsi="Times New Roman" w:cs="Times New Roman"/>
        </w:rPr>
        <w:t xml:space="preserve">tate legislatures to determine the manner in which </w:t>
      </w:r>
      <w:r w:rsidR="74A43ECE" w:rsidRPr="008075A4">
        <w:rPr>
          <w:rFonts w:ascii="Times New Roman" w:eastAsia="Times New Roman" w:hAnsi="Times New Roman" w:cs="Times New Roman"/>
        </w:rPr>
        <w:t xml:space="preserve">postsecondary education was </w:t>
      </w:r>
      <w:r w:rsidR="00517C1B" w:rsidRPr="008075A4">
        <w:rPr>
          <w:rFonts w:ascii="Times New Roman" w:eastAsia="Times New Roman" w:hAnsi="Times New Roman" w:cs="Times New Roman"/>
        </w:rPr>
        <w:t>carried out</w:t>
      </w:r>
      <w:r w:rsidR="74A43ECE" w:rsidRPr="008075A4">
        <w:rPr>
          <w:rFonts w:ascii="Times New Roman" w:eastAsia="Times New Roman" w:hAnsi="Times New Roman" w:cs="Times New Roman"/>
        </w:rPr>
        <w:t xml:space="preserve"> </w:t>
      </w:r>
      <w:r w:rsidR="7E1BC5B2" w:rsidRPr="008075A4">
        <w:rPr>
          <w:rFonts w:ascii="Times New Roman" w:eastAsia="Times New Roman" w:hAnsi="Times New Roman" w:cs="Times New Roman"/>
        </w:rPr>
        <w:t xml:space="preserve">at </w:t>
      </w:r>
      <w:r w:rsidR="74A43ECE" w:rsidRPr="008075A4">
        <w:rPr>
          <w:rFonts w:ascii="Times New Roman" w:eastAsia="Times New Roman" w:hAnsi="Times New Roman" w:cs="Times New Roman"/>
        </w:rPr>
        <w:t>these institutions</w:t>
      </w:r>
      <w:r w:rsidR="00485530">
        <w:rPr>
          <w:rFonts w:ascii="Times New Roman" w:eastAsia="Times New Roman" w:hAnsi="Times New Roman" w:cs="Times New Roman"/>
        </w:rPr>
        <w:t>. As a result,</w:t>
      </w:r>
      <w:r w:rsidR="00A72827" w:rsidRPr="008075A4">
        <w:rPr>
          <w:rFonts w:ascii="Times New Roman" w:eastAsia="Times New Roman" w:hAnsi="Times New Roman" w:cs="Times New Roman"/>
        </w:rPr>
        <w:t xml:space="preserve"> </w:t>
      </w:r>
      <w:r w:rsidR="00490030" w:rsidRPr="008075A4">
        <w:rPr>
          <w:rFonts w:ascii="Times New Roman" w:eastAsia="Times New Roman" w:hAnsi="Times New Roman" w:cs="Times New Roman"/>
        </w:rPr>
        <w:t>B</w:t>
      </w:r>
      <w:r w:rsidR="00A72827" w:rsidRPr="008075A4">
        <w:rPr>
          <w:rFonts w:ascii="Times New Roman" w:eastAsia="Times New Roman" w:hAnsi="Times New Roman" w:cs="Times New Roman"/>
        </w:rPr>
        <w:t xml:space="preserve">lack </w:t>
      </w:r>
      <w:r w:rsidR="00485530">
        <w:rPr>
          <w:rFonts w:ascii="Times New Roman" w:eastAsia="Times New Roman" w:hAnsi="Times New Roman" w:cs="Times New Roman"/>
        </w:rPr>
        <w:t>citizens</w:t>
      </w:r>
      <w:r w:rsidR="00485530" w:rsidRPr="008075A4">
        <w:rPr>
          <w:rFonts w:ascii="Times New Roman" w:eastAsia="Times New Roman" w:hAnsi="Times New Roman" w:cs="Times New Roman"/>
        </w:rPr>
        <w:t xml:space="preserve"> </w:t>
      </w:r>
      <w:r w:rsidR="00A72827" w:rsidRPr="008075A4">
        <w:rPr>
          <w:rFonts w:ascii="Times New Roman" w:eastAsia="Times New Roman" w:hAnsi="Times New Roman" w:cs="Times New Roman"/>
        </w:rPr>
        <w:t xml:space="preserve">were not allowed to enroll </w:t>
      </w:r>
      <w:r w:rsidR="00485530">
        <w:rPr>
          <w:rFonts w:ascii="Times New Roman" w:eastAsia="Times New Roman" w:hAnsi="Times New Roman" w:cs="Times New Roman"/>
        </w:rPr>
        <w:t xml:space="preserve">in college </w:t>
      </w:r>
      <w:r w:rsidR="00A11020" w:rsidRPr="008075A4">
        <w:rPr>
          <w:rFonts w:ascii="Times New Roman" w:eastAsia="Times New Roman" w:hAnsi="Times New Roman" w:cs="Times New Roman"/>
        </w:rPr>
        <w:t xml:space="preserve">if their state </w:t>
      </w:r>
      <w:r w:rsidR="00897AF9" w:rsidRPr="008075A4">
        <w:rPr>
          <w:rFonts w:ascii="Times New Roman" w:eastAsia="Times New Roman" w:hAnsi="Times New Roman" w:cs="Times New Roman"/>
        </w:rPr>
        <w:t>restricted access</w:t>
      </w:r>
      <w:r w:rsidR="00485530">
        <w:rPr>
          <w:rFonts w:ascii="Times New Roman" w:eastAsia="Times New Roman" w:hAnsi="Times New Roman" w:cs="Times New Roman"/>
        </w:rPr>
        <w:t xml:space="preserve"> based upon race</w:t>
      </w:r>
      <w:r w:rsidR="00C273F7" w:rsidRPr="008075A4">
        <w:rPr>
          <w:rFonts w:ascii="Times New Roman" w:eastAsia="Times New Roman" w:hAnsi="Times New Roman" w:cs="Times New Roman"/>
        </w:rPr>
        <w:t xml:space="preserve">. </w:t>
      </w:r>
      <w:r w:rsidR="00772B90" w:rsidRPr="008075A4">
        <w:rPr>
          <w:rFonts w:ascii="Times New Roman" w:eastAsia="Times New Roman" w:hAnsi="Times New Roman" w:cs="Times New Roman"/>
        </w:rPr>
        <w:t>With the Second Morrill Act</w:t>
      </w:r>
      <w:r w:rsidR="00E6127A" w:rsidRPr="008075A4">
        <w:rPr>
          <w:rFonts w:ascii="Times New Roman" w:eastAsia="Times New Roman" w:hAnsi="Times New Roman" w:cs="Times New Roman"/>
        </w:rPr>
        <w:t xml:space="preserve"> – </w:t>
      </w:r>
      <w:r w:rsidR="7D7EC36D" w:rsidRPr="008075A4">
        <w:rPr>
          <w:rFonts w:ascii="Times New Roman" w:eastAsia="Times New Roman" w:hAnsi="Times New Roman" w:cs="Times New Roman"/>
        </w:rPr>
        <w:t>also known as the Agricultural Co</w:t>
      </w:r>
      <w:r w:rsidR="33737870" w:rsidRPr="008075A4">
        <w:rPr>
          <w:rFonts w:ascii="Times New Roman" w:eastAsia="Times New Roman" w:hAnsi="Times New Roman" w:cs="Times New Roman"/>
        </w:rPr>
        <w:t xml:space="preserve">llege Act, 7 U.S.C.S. </w:t>
      </w:r>
      <w:r w:rsidR="33737870" w:rsidRPr="008075A4">
        <w:rPr>
          <w:rFonts w:ascii="Times New Roman" w:eastAsia="Times New Roman" w:hAnsi="Times New Roman" w:cs="Times New Roman"/>
          <w:color w:val="222222"/>
        </w:rPr>
        <w:t>§ 321</w:t>
      </w:r>
      <w:r w:rsidR="3AF58366" w:rsidRPr="008075A4">
        <w:rPr>
          <w:rFonts w:ascii="Times New Roman" w:eastAsia="Times New Roman" w:hAnsi="Times New Roman" w:cs="Times New Roman"/>
          <w:color w:val="222222"/>
        </w:rPr>
        <w:t xml:space="preserve"> (1890)</w:t>
      </w:r>
      <w:r w:rsidR="00517C1B" w:rsidRPr="008075A4">
        <w:rPr>
          <w:rFonts w:ascii="Times New Roman" w:eastAsia="Times New Roman" w:hAnsi="Times New Roman" w:cs="Times New Roman"/>
          <w:color w:val="222222"/>
        </w:rPr>
        <w:t xml:space="preserve"> </w:t>
      </w:r>
      <w:r w:rsidR="00E6127A" w:rsidRPr="008075A4">
        <w:rPr>
          <w:rFonts w:ascii="Times New Roman" w:eastAsia="Times New Roman" w:hAnsi="Times New Roman" w:cs="Times New Roman"/>
          <w:color w:val="222222"/>
        </w:rPr>
        <w:t xml:space="preserve">– </w:t>
      </w:r>
      <w:r w:rsidR="00517C1B" w:rsidRPr="008075A4">
        <w:rPr>
          <w:rFonts w:ascii="Times New Roman" w:eastAsia="Times New Roman" w:hAnsi="Times New Roman" w:cs="Times New Roman"/>
          <w:color w:val="222222"/>
        </w:rPr>
        <w:t>t</w:t>
      </w:r>
      <w:r w:rsidR="7D7EC36D" w:rsidRPr="008075A4">
        <w:rPr>
          <w:rFonts w:ascii="Times New Roman" w:eastAsia="Times New Roman" w:hAnsi="Times New Roman" w:cs="Times New Roman"/>
        </w:rPr>
        <w:t>he federal government</w:t>
      </w:r>
      <w:r w:rsidR="006F1C40" w:rsidRPr="008075A4">
        <w:rPr>
          <w:rFonts w:ascii="Times New Roman" w:eastAsia="Times New Roman" w:hAnsi="Times New Roman" w:cs="Times New Roman"/>
        </w:rPr>
        <w:t xml:space="preserve"> provided funds for the expansion of the land-gra</w:t>
      </w:r>
      <w:r w:rsidR="00B06C05" w:rsidRPr="008075A4">
        <w:rPr>
          <w:rFonts w:ascii="Times New Roman" w:eastAsia="Times New Roman" w:hAnsi="Times New Roman" w:cs="Times New Roman"/>
        </w:rPr>
        <w:t>nt</w:t>
      </w:r>
      <w:r w:rsidR="006F1C40" w:rsidRPr="008075A4">
        <w:rPr>
          <w:rFonts w:ascii="Times New Roman" w:eastAsia="Times New Roman" w:hAnsi="Times New Roman" w:cs="Times New Roman"/>
        </w:rPr>
        <w:t xml:space="preserve"> universit</w:t>
      </w:r>
      <w:r w:rsidR="00AF4F46" w:rsidRPr="008075A4">
        <w:rPr>
          <w:rFonts w:ascii="Times New Roman" w:eastAsia="Times New Roman" w:hAnsi="Times New Roman" w:cs="Times New Roman"/>
        </w:rPr>
        <w:t>ies and</w:t>
      </w:r>
      <w:r w:rsidR="000F187A" w:rsidRPr="008075A4">
        <w:rPr>
          <w:rFonts w:ascii="Times New Roman" w:eastAsia="Times New Roman" w:hAnsi="Times New Roman" w:cs="Times New Roman"/>
        </w:rPr>
        <w:t xml:space="preserve">, among other pieces, saw the creation of 18 </w:t>
      </w:r>
      <w:r w:rsidR="3B1ED682" w:rsidRPr="008075A4">
        <w:rPr>
          <w:rFonts w:ascii="Times New Roman" w:eastAsia="Times New Roman" w:hAnsi="Times New Roman" w:cs="Times New Roman"/>
        </w:rPr>
        <w:t>B</w:t>
      </w:r>
      <w:r w:rsidR="000F187A" w:rsidRPr="008075A4">
        <w:rPr>
          <w:rFonts w:ascii="Times New Roman" w:eastAsia="Times New Roman" w:hAnsi="Times New Roman" w:cs="Times New Roman"/>
        </w:rPr>
        <w:t>lack land-grant universities</w:t>
      </w:r>
      <w:r w:rsidR="00E6127A" w:rsidRPr="008075A4">
        <w:rPr>
          <w:rFonts w:ascii="Times New Roman" w:eastAsia="Times New Roman" w:hAnsi="Times New Roman" w:cs="Times New Roman"/>
        </w:rPr>
        <w:t xml:space="preserve"> which would be the</w:t>
      </w:r>
      <w:r w:rsidR="001D0A62" w:rsidRPr="008075A4">
        <w:rPr>
          <w:rFonts w:ascii="Times New Roman" w:eastAsia="Times New Roman" w:hAnsi="Times New Roman" w:cs="Times New Roman"/>
        </w:rPr>
        <w:t xml:space="preserve"> precursors to what we now consider Historically Black Colleges and Universities</w:t>
      </w:r>
      <w:r w:rsidR="2450D54A" w:rsidRPr="008075A4">
        <w:rPr>
          <w:rFonts w:ascii="Times New Roman" w:eastAsia="Times New Roman" w:hAnsi="Times New Roman" w:cs="Times New Roman"/>
        </w:rPr>
        <w:t xml:space="preserve">. This </w:t>
      </w:r>
      <w:r w:rsidR="00897AF9" w:rsidRPr="008075A4">
        <w:rPr>
          <w:rFonts w:ascii="Times New Roman" w:eastAsia="Times New Roman" w:hAnsi="Times New Roman" w:cs="Times New Roman"/>
        </w:rPr>
        <w:t xml:space="preserve">effectively </w:t>
      </w:r>
      <w:r w:rsidR="2450D54A" w:rsidRPr="008075A4">
        <w:rPr>
          <w:rFonts w:ascii="Times New Roman" w:eastAsia="Times New Roman" w:hAnsi="Times New Roman" w:cs="Times New Roman"/>
        </w:rPr>
        <w:t>served as</w:t>
      </w:r>
      <w:r w:rsidR="646383C9" w:rsidRPr="008075A4">
        <w:rPr>
          <w:rFonts w:ascii="Times New Roman" w:eastAsia="Times New Roman" w:hAnsi="Times New Roman" w:cs="Times New Roman"/>
        </w:rPr>
        <w:t xml:space="preserve"> </w:t>
      </w:r>
      <w:r w:rsidR="646383C9" w:rsidRPr="008075A4">
        <w:rPr>
          <w:rFonts w:ascii="Times New Roman" w:eastAsia="Times New Roman" w:hAnsi="Times New Roman" w:cs="Times New Roman"/>
        </w:rPr>
        <w:lastRenderedPageBreak/>
        <w:t>the first piece of federal legislation that explicitly addressed</w:t>
      </w:r>
      <w:r w:rsidR="7026053E" w:rsidRPr="008075A4">
        <w:rPr>
          <w:rFonts w:ascii="Times New Roman" w:eastAsia="Times New Roman" w:hAnsi="Times New Roman" w:cs="Times New Roman"/>
        </w:rPr>
        <w:t xml:space="preserve"> inequity in postsecondary access along race</w:t>
      </w:r>
      <w:r w:rsidR="00485530">
        <w:rPr>
          <w:rFonts w:ascii="Times New Roman" w:eastAsia="Times New Roman" w:hAnsi="Times New Roman" w:cs="Times New Roman"/>
        </w:rPr>
        <w:t>/ethnicity</w:t>
      </w:r>
      <w:r w:rsidR="7026053E" w:rsidRPr="008075A4">
        <w:rPr>
          <w:rFonts w:ascii="Times New Roman" w:eastAsia="Times New Roman" w:hAnsi="Times New Roman" w:cs="Times New Roman"/>
        </w:rPr>
        <w:t xml:space="preserve"> lines</w:t>
      </w:r>
      <w:r w:rsidR="001D0A62" w:rsidRPr="008075A4">
        <w:rPr>
          <w:rFonts w:ascii="Times New Roman" w:eastAsia="Times New Roman" w:hAnsi="Times New Roman" w:cs="Times New Roman"/>
        </w:rPr>
        <w:t xml:space="preserve">. </w:t>
      </w:r>
    </w:p>
    <w:p w14:paraId="336197A5" w14:textId="77777777" w:rsidR="00596DBC" w:rsidRPr="008075A4" w:rsidRDefault="00596DBC" w:rsidP="002B4407">
      <w:pPr>
        <w:ind w:firstLine="720"/>
        <w:contextualSpacing/>
        <w:rPr>
          <w:rFonts w:ascii="Times New Roman" w:eastAsia="Times New Roman" w:hAnsi="Times New Roman" w:cs="Times New Roman"/>
        </w:rPr>
      </w:pPr>
    </w:p>
    <w:p w14:paraId="2AF367D8" w14:textId="6FB0A41C" w:rsidR="00CB5583" w:rsidRDefault="001D0A62" w:rsidP="002B4407">
      <w:pPr>
        <w:ind w:firstLine="720"/>
        <w:contextualSpacing/>
        <w:rPr>
          <w:rFonts w:ascii="Times New Roman" w:eastAsia="Times New Roman" w:hAnsi="Times New Roman" w:cs="Times New Roman"/>
        </w:rPr>
      </w:pPr>
      <w:r w:rsidRPr="008075A4">
        <w:rPr>
          <w:rFonts w:ascii="Times New Roman" w:eastAsia="Times New Roman" w:hAnsi="Times New Roman" w:cs="Times New Roman"/>
        </w:rPr>
        <w:t xml:space="preserve">However, this legislation was not enough to </w:t>
      </w:r>
      <w:r w:rsidR="00C273F7" w:rsidRPr="008075A4">
        <w:rPr>
          <w:rFonts w:ascii="Times New Roman" w:eastAsia="Times New Roman" w:hAnsi="Times New Roman" w:cs="Times New Roman"/>
        </w:rPr>
        <w:t>address the inequities inherent in the educational system</w:t>
      </w:r>
      <w:r w:rsidR="00FE0C76" w:rsidRPr="008075A4">
        <w:rPr>
          <w:rFonts w:ascii="Times New Roman" w:eastAsia="Times New Roman" w:hAnsi="Times New Roman" w:cs="Times New Roman"/>
        </w:rPr>
        <w:t>,</w:t>
      </w:r>
      <w:r w:rsidR="00C05163" w:rsidRPr="008075A4">
        <w:rPr>
          <w:rFonts w:ascii="Times New Roman" w:eastAsia="Times New Roman" w:hAnsi="Times New Roman" w:cs="Times New Roman"/>
        </w:rPr>
        <w:t xml:space="preserve"> and</w:t>
      </w:r>
      <w:r w:rsidR="00172A2A" w:rsidRPr="008075A4">
        <w:rPr>
          <w:rFonts w:ascii="Times New Roman" w:eastAsia="Times New Roman" w:hAnsi="Times New Roman" w:cs="Times New Roman"/>
        </w:rPr>
        <w:t xml:space="preserve"> cases like </w:t>
      </w:r>
      <w:r w:rsidR="00172A2A" w:rsidRPr="008075A4">
        <w:rPr>
          <w:rFonts w:ascii="Times New Roman" w:eastAsia="Times New Roman" w:hAnsi="Times New Roman" w:cs="Times New Roman"/>
          <w:i/>
          <w:iCs/>
        </w:rPr>
        <w:t>Plessy v. Ferguson</w:t>
      </w:r>
      <w:r w:rsidR="182BD65B" w:rsidRPr="008075A4">
        <w:rPr>
          <w:rFonts w:ascii="Times New Roman" w:eastAsia="Times New Roman" w:hAnsi="Times New Roman" w:cs="Times New Roman"/>
          <w:i/>
          <w:iCs/>
        </w:rPr>
        <w:t xml:space="preserve">, </w:t>
      </w:r>
      <w:r w:rsidR="5E6BFBF8" w:rsidRPr="008075A4">
        <w:rPr>
          <w:rFonts w:ascii="Times New Roman" w:eastAsia="Times New Roman" w:hAnsi="Times New Roman" w:cs="Times New Roman"/>
        </w:rPr>
        <w:t>163 U.S. 537</w:t>
      </w:r>
      <w:r w:rsidR="00172A2A" w:rsidRPr="008075A4">
        <w:rPr>
          <w:rFonts w:ascii="Times New Roman" w:eastAsia="Times New Roman" w:hAnsi="Times New Roman" w:cs="Times New Roman"/>
          <w:i/>
          <w:iCs/>
        </w:rPr>
        <w:t xml:space="preserve"> </w:t>
      </w:r>
      <w:r w:rsidR="00172A2A" w:rsidRPr="008075A4">
        <w:rPr>
          <w:rFonts w:ascii="Times New Roman" w:eastAsia="Times New Roman" w:hAnsi="Times New Roman" w:cs="Times New Roman"/>
        </w:rPr>
        <w:t>(1896)</w:t>
      </w:r>
      <w:r w:rsidR="00897AF9" w:rsidRPr="008075A4">
        <w:rPr>
          <w:rFonts w:ascii="Times New Roman" w:eastAsia="Times New Roman" w:hAnsi="Times New Roman" w:cs="Times New Roman"/>
        </w:rPr>
        <w:t xml:space="preserve"> </w:t>
      </w:r>
      <w:r w:rsidR="00172A2A" w:rsidRPr="008075A4">
        <w:rPr>
          <w:rFonts w:ascii="Times New Roman" w:eastAsia="Times New Roman" w:hAnsi="Times New Roman" w:cs="Times New Roman"/>
        </w:rPr>
        <w:t xml:space="preserve">and </w:t>
      </w:r>
      <w:r w:rsidR="00172A2A" w:rsidRPr="008075A4">
        <w:rPr>
          <w:rFonts w:ascii="Times New Roman" w:eastAsia="Times New Roman" w:hAnsi="Times New Roman" w:cs="Times New Roman"/>
          <w:i/>
          <w:iCs/>
        </w:rPr>
        <w:t>Brown v. Board of Education of Topeka</w:t>
      </w:r>
      <w:r w:rsidR="28A57646" w:rsidRPr="008075A4">
        <w:rPr>
          <w:rFonts w:ascii="Times New Roman" w:eastAsia="Times New Roman" w:hAnsi="Times New Roman" w:cs="Times New Roman"/>
        </w:rPr>
        <w:t>, 348 U.S. 886</w:t>
      </w:r>
      <w:r w:rsidR="4601EA3F" w:rsidRPr="008075A4">
        <w:rPr>
          <w:rFonts w:ascii="Times New Roman" w:eastAsia="Times New Roman" w:hAnsi="Times New Roman" w:cs="Times New Roman"/>
        </w:rPr>
        <w:t>,</w:t>
      </w:r>
      <w:r w:rsidR="28A57646" w:rsidRPr="008075A4">
        <w:rPr>
          <w:rFonts w:ascii="Times New Roman" w:eastAsia="Times New Roman" w:hAnsi="Times New Roman" w:cs="Times New Roman"/>
        </w:rPr>
        <w:t xml:space="preserve"> (1954)</w:t>
      </w:r>
      <w:r w:rsidR="00E6127A" w:rsidRPr="008075A4">
        <w:rPr>
          <w:rFonts w:ascii="Times New Roman" w:eastAsia="Times New Roman" w:hAnsi="Times New Roman" w:cs="Times New Roman"/>
        </w:rPr>
        <w:t xml:space="preserve"> – </w:t>
      </w:r>
      <w:r w:rsidR="28A57646" w:rsidRPr="008075A4">
        <w:rPr>
          <w:rFonts w:ascii="Times New Roman" w:eastAsia="Times New Roman" w:hAnsi="Times New Roman" w:cs="Times New Roman"/>
        </w:rPr>
        <w:t xml:space="preserve">while not </w:t>
      </w:r>
      <w:r w:rsidR="00534DF2" w:rsidRPr="008075A4">
        <w:rPr>
          <w:rFonts w:ascii="Times New Roman" w:eastAsia="Times New Roman" w:hAnsi="Times New Roman" w:cs="Times New Roman"/>
        </w:rPr>
        <w:t>explicitly</w:t>
      </w:r>
      <w:r w:rsidR="00B934E4" w:rsidRPr="008075A4">
        <w:rPr>
          <w:rFonts w:ascii="Times New Roman" w:eastAsia="Times New Roman" w:hAnsi="Times New Roman" w:cs="Times New Roman"/>
        </w:rPr>
        <w:t xml:space="preserve"> linked to higher education</w:t>
      </w:r>
      <w:r w:rsidR="000A3612" w:rsidRPr="008075A4">
        <w:rPr>
          <w:rFonts w:ascii="Times New Roman" w:eastAsia="Times New Roman" w:hAnsi="Times New Roman" w:cs="Times New Roman"/>
        </w:rPr>
        <w:t xml:space="preserve"> – </w:t>
      </w:r>
      <w:r w:rsidR="00B934E4" w:rsidRPr="008075A4">
        <w:rPr>
          <w:rFonts w:ascii="Times New Roman" w:eastAsia="Times New Roman" w:hAnsi="Times New Roman" w:cs="Times New Roman"/>
        </w:rPr>
        <w:t xml:space="preserve">set the broader stage for the passing of </w:t>
      </w:r>
      <w:r w:rsidR="2CFEF6BD" w:rsidRPr="008075A4">
        <w:rPr>
          <w:rFonts w:ascii="Times New Roman" w:eastAsia="Times New Roman" w:hAnsi="Times New Roman" w:cs="Times New Roman"/>
        </w:rPr>
        <w:t>T</w:t>
      </w:r>
      <w:r w:rsidR="00B934E4" w:rsidRPr="008075A4">
        <w:rPr>
          <w:rFonts w:ascii="Times New Roman" w:eastAsia="Times New Roman" w:hAnsi="Times New Roman" w:cs="Times New Roman"/>
        </w:rPr>
        <w:t xml:space="preserve">he Higher Education Act </w:t>
      </w:r>
      <w:r w:rsidR="00534DF2" w:rsidRPr="008075A4">
        <w:rPr>
          <w:rFonts w:ascii="Times New Roman" w:eastAsia="Times New Roman" w:hAnsi="Times New Roman" w:cs="Times New Roman"/>
        </w:rPr>
        <w:t xml:space="preserve">(HEA) </w:t>
      </w:r>
      <w:r w:rsidR="00B934E4" w:rsidRPr="008075A4">
        <w:rPr>
          <w:rFonts w:ascii="Times New Roman" w:eastAsia="Times New Roman" w:hAnsi="Times New Roman" w:cs="Times New Roman"/>
        </w:rPr>
        <w:t>of 1965</w:t>
      </w:r>
      <w:r w:rsidR="2CFEF6BD" w:rsidRPr="008075A4">
        <w:rPr>
          <w:rFonts w:ascii="Times New Roman" w:eastAsia="Times New Roman" w:hAnsi="Times New Roman" w:cs="Times New Roman"/>
        </w:rPr>
        <w:t>, as amended, 20 U.S.C. 1071 et seq.</w:t>
      </w:r>
      <w:r w:rsidR="6D3C5ECF" w:rsidRPr="008075A4">
        <w:rPr>
          <w:rFonts w:ascii="Times New Roman" w:eastAsia="Times New Roman" w:hAnsi="Times New Roman" w:cs="Times New Roman"/>
        </w:rPr>
        <w:t>,</w:t>
      </w:r>
      <w:r w:rsidR="00897AF9" w:rsidRPr="008075A4">
        <w:rPr>
          <w:rFonts w:ascii="Times New Roman" w:eastAsia="Times New Roman" w:hAnsi="Times New Roman" w:cs="Times New Roman"/>
        </w:rPr>
        <w:t xml:space="preserve"> by addressing racial segregation in access to facilities and education broadly</w:t>
      </w:r>
      <w:r w:rsidR="00B934E4" w:rsidRPr="008075A4">
        <w:rPr>
          <w:rFonts w:ascii="Times New Roman" w:eastAsia="Times New Roman" w:hAnsi="Times New Roman" w:cs="Times New Roman"/>
        </w:rPr>
        <w:t>.</w:t>
      </w:r>
      <w:r w:rsidR="007E6EB9" w:rsidRPr="008075A4">
        <w:rPr>
          <w:rFonts w:ascii="Times New Roman" w:eastAsia="Times New Roman" w:hAnsi="Times New Roman" w:cs="Times New Roman"/>
        </w:rPr>
        <w:t xml:space="preserve"> One primary mechanism that HEA employed to improve equitable postsecondary access focused on decreasing financial barriers for students. For </w:t>
      </w:r>
      <w:r w:rsidR="005E0BF4" w:rsidRPr="008075A4">
        <w:rPr>
          <w:rFonts w:ascii="Times New Roman" w:eastAsia="Times New Roman" w:hAnsi="Times New Roman" w:cs="Times New Roman"/>
        </w:rPr>
        <w:t>instance</w:t>
      </w:r>
      <w:r w:rsidR="00E6127A" w:rsidRPr="008075A4">
        <w:rPr>
          <w:rFonts w:ascii="Times New Roman" w:eastAsia="Times New Roman" w:hAnsi="Times New Roman" w:cs="Times New Roman"/>
        </w:rPr>
        <w:t>,</w:t>
      </w:r>
      <w:r w:rsidR="007E6EB9" w:rsidRPr="008075A4">
        <w:rPr>
          <w:rFonts w:ascii="Times New Roman" w:eastAsia="Times New Roman" w:hAnsi="Times New Roman" w:cs="Times New Roman"/>
        </w:rPr>
        <w:t xml:space="preserve"> </w:t>
      </w:r>
      <w:r w:rsidR="005E0BF4" w:rsidRPr="008075A4">
        <w:rPr>
          <w:rFonts w:ascii="Times New Roman" w:eastAsia="Times New Roman" w:hAnsi="Times New Roman" w:cs="Times New Roman"/>
        </w:rPr>
        <w:t>HEA</w:t>
      </w:r>
      <w:r w:rsidR="00F817B7" w:rsidRPr="008075A4">
        <w:rPr>
          <w:rFonts w:ascii="Times New Roman" w:eastAsia="Times New Roman" w:hAnsi="Times New Roman" w:cs="Times New Roman"/>
        </w:rPr>
        <w:t xml:space="preserve"> called for the creation of the first</w:t>
      </w:r>
      <w:r w:rsidR="00B65577" w:rsidRPr="008075A4">
        <w:rPr>
          <w:rFonts w:ascii="Times New Roman" w:eastAsia="Times New Roman" w:hAnsi="Times New Roman" w:cs="Times New Roman"/>
        </w:rPr>
        <w:t xml:space="preserve"> ever low</w:t>
      </w:r>
      <w:r w:rsidR="007E6EB9" w:rsidRPr="008075A4">
        <w:rPr>
          <w:rFonts w:ascii="Times New Roman" w:eastAsia="Times New Roman" w:hAnsi="Times New Roman" w:cs="Times New Roman"/>
        </w:rPr>
        <w:t>-</w:t>
      </w:r>
      <w:r w:rsidR="00B65577" w:rsidRPr="008075A4">
        <w:rPr>
          <w:rFonts w:ascii="Times New Roman" w:eastAsia="Times New Roman" w:hAnsi="Times New Roman" w:cs="Times New Roman"/>
        </w:rPr>
        <w:t xml:space="preserve">interest student loans; </w:t>
      </w:r>
      <w:r w:rsidR="00485530">
        <w:rPr>
          <w:rFonts w:ascii="Times New Roman" w:eastAsia="Times New Roman" w:hAnsi="Times New Roman" w:cs="Times New Roman"/>
        </w:rPr>
        <w:t xml:space="preserve">seven </w:t>
      </w:r>
      <w:r w:rsidR="00B65577" w:rsidRPr="008075A4">
        <w:rPr>
          <w:rFonts w:ascii="Times New Roman" w:eastAsia="Times New Roman" w:hAnsi="Times New Roman" w:cs="Times New Roman"/>
        </w:rPr>
        <w:t xml:space="preserve">years later, in 1972, Senator Claiborne Pell </w:t>
      </w:r>
      <w:r w:rsidR="00345531" w:rsidRPr="008075A4">
        <w:rPr>
          <w:rFonts w:ascii="Times New Roman" w:eastAsia="Times New Roman" w:hAnsi="Times New Roman" w:cs="Times New Roman"/>
        </w:rPr>
        <w:t xml:space="preserve">(D-RI) </w:t>
      </w:r>
      <w:r w:rsidR="00B65577" w:rsidRPr="008075A4">
        <w:rPr>
          <w:rFonts w:ascii="Times New Roman" w:eastAsia="Times New Roman" w:hAnsi="Times New Roman" w:cs="Times New Roman"/>
        </w:rPr>
        <w:t>lobbied for what was then called the Basic Educational Opportunity Grant</w:t>
      </w:r>
      <w:r w:rsidR="00AB10A7" w:rsidRPr="008075A4">
        <w:rPr>
          <w:rFonts w:ascii="Times New Roman" w:eastAsia="Times New Roman" w:hAnsi="Times New Roman" w:cs="Times New Roman"/>
        </w:rPr>
        <w:t xml:space="preserve">, a program that would provide low-income students with need-based aid that </w:t>
      </w:r>
      <w:r w:rsidR="0019778C" w:rsidRPr="008075A4">
        <w:rPr>
          <w:rFonts w:ascii="Times New Roman" w:eastAsia="Times New Roman" w:hAnsi="Times New Roman" w:cs="Times New Roman"/>
        </w:rPr>
        <w:t>need not be</w:t>
      </w:r>
      <w:r w:rsidR="00AB10A7" w:rsidRPr="008075A4">
        <w:rPr>
          <w:rFonts w:ascii="Times New Roman" w:eastAsia="Times New Roman" w:hAnsi="Times New Roman" w:cs="Times New Roman"/>
        </w:rPr>
        <w:t xml:space="preserve"> repaid.</w:t>
      </w:r>
      <w:r w:rsidR="00B934E4" w:rsidRPr="008075A4">
        <w:rPr>
          <w:rFonts w:ascii="Times New Roman" w:eastAsia="Times New Roman" w:hAnsi="Times New Roman" w:cs="Times New Roman"/>
        </w:rPr>
        <w:t xml:space="preserve"> </w:t>
      </w:r>
      <w:r w:rsidR="008C3A3C" w:rsidRPr="008075A4">
        <w:rPr>
          <w:rFonts w:ascii="Times New Roman" w:eastAsia="Times New Roman" w:hAnsi="Times New Roman" w:cs="Times New Roman"/>
        </w:rPr>
        <w:t>Renamed the Pell Grant in the senator’s honor, this</w:t>
      </w:r>
      <w:r w:rsidR="007E6EB9" w:rsidRPr="008075A4">
        <w:rPr>
          <w:rFonts w:ascii="Times New Roman" w:eastAsia="Times New Roman" w:hAnsi="Times New Roman" w:cs="Times New Roman"/>
        </w:rPr>
        <w:t xml:space="preserve"> now-well-known</w:t>
      </w:r>
      <w:r w:rsidR="008C3A3C" w:rsidRPr="008075A4">
        <w:rPr>
          <w:rFonts w:ascii="Times New Roman" w:eastAsia="Times New Roman" w:hAnsi="Times New Roman" w:cs="Times New Roman"/>
        </w:rPr>
        <w:t xml:space="preserve"> financial aid mechanism seeks to address issues of affordability in higher education </w:t>
      </w:r>
      <w:r w:rsidR="004219FA" w:rsidRPr="008075A4">
        <w:rPr>
          <w:rFonts w:ascii="Times New Roman" w:eastAsia="Times New Roman" w:hAnsi="Times New Roman" w:cs="Times New Roman"/>
        </w:rPr>
        <w:t>and provide increased access to those communities most affected by historical marginalization and segregation</w:t>
      </w:r>
      <w:r w:rsidR="00A10D8A" w:rsidRPr="008075A4">
        <w:rPr>
          <w:rFonts w:ascii="Times New Roman" w:eastAsia="Times New Roman" w:hAnsi="Times New Roman" w:cs="Times New Roman"/>
        </w:rPr>
        <w:t>.</w:t>
      </w:r>
    </w:p>
    <w:p w14:paraId="42035754" w14:textId="77777777" w:rsidR="00596DBC" w:rsidRPr="008075A4" w:rsidRDefault="00596DBC" w:rsidP="002B4407">
      <w:pPr>
        <w:ind w:firstLine="720"/>
        <w:contextualSpacing/>
        <w:rPr>
          <w:rFonts w:ascii="Times New Roman" w:eastAsia="Times New Roman" w:hAnsi="Times New Roman" w:cs="Times New Roman"/>
        </w:rPr>
      </w:pPr>
    </w:p>
    <w:p w14:paraId="4D6E43BA" w14:textId="27BEA608" w:rsidR="00562D32" w:rsidRPr="008075A4" w:rsidRDefault="00A1439C" w:rsidP="002B4407">
      <w:pPr>
        <w:ind w:firstLine="720"/>
        <w:rPr>
          <w:rFonts w:ascii="Times New Roman" w:eastAsia="Times New Roman" w:hAnsi="Times New Roman" w:cs="Times New Roman"/>
        </w:rPr>
      </w:pPr>
      <w:r w:rsidRPr="008075A4">
        <w:rPr>
          <w:rFonts w:ascii="Times New Roman" w:eastAsia="Times New Roman" w:hAnsi="Times New Roman" w:cs="Times New Roman"/>
        </w:rPr>
        <w:t xml:space="preserve">Given the </w:t>
      </w:r>
      <w:r w:rsidR="00D26D3B" w:rsidRPr="008075A4">
        <w:rPr>
          <w:rFonts w:ascii="Times New Roman" w:eastAsia="Times New Roman" w:hAnsi="Times New Roman" w:cs="Times New Roman"/>
        </w:rPr>
        <w:t xml:space="preserve">demographic </w:t>
      </w:r>
      <w:r w:rsidR="00A84EDE" w:rsidRPr="008075A4">
        <w:rPr>
          <w:rFonts w:ascii="Times New Roman" w:eastAsia="Times New Roman" w:hAnsi="Times New Roman" w:cs="Times New Roman"/>
        </w:rPr>
        <w:t xml:space="preserve">shifts in </w:t>
      </w:r>
      <w:r w:rsidR="00A10D8A" w:rsidRPr="008075A4">
        <w:rPr>
          <w:rFonts w:ascii="Times New Roman" w:eastAsia="Times New Roman" w:hAnsi="Times New Roman" w:cs="Times New Roman"/>
        </w:rPr>
        <w:t xml:space="preserve">the student population </w:t>
      </w:r>
      <w:r w:rsidR="65EFB4E1" w:rsidRPr="008075A4">
        <w:rPr>
          <w:rFonts w:ascii="Times New Roman" w:eastAsia="Times New Roman" w:hAnsi="Times New Roman" w:cs="Times New Roman"/>
        </w:rPr>
        <w:t>pursuing</w:t>
      </w:r>
      <w:r w:rsidR="00A10D8A" w:rsidRPr="008075A4">
        <w:rPr>
          <w:rFonts w:ascii="Times New Roman" w:eastAsia="Times New Roman" w:hAnsi="Times New Roman" w:cs="Times New Roman"/>
        </w:rPr>
        <w:t xml:space="preserve"> </w:t>
      </w:r>
      <w:r w:rsidR="00A84EDE" w:rsidRPr="008075A4">
        <w:rPr>
          <w:rFonts w:ascii="Times New Roman" w:eastAsia="Times New Roman" w:hAnsi="Times New Roman" w:cs="Times New Roman"/>
        </w:rPr>
        <w:t xml:space="preserve">higher education </w:t>
      </w:r>
      <w:r w:rsidR="003663B8" w:rsidRPr="008075A4">
        <w:rPr>
          <w:rFonts w:ascii="Times New Roman" w:eastAsia="Times New Roman" w:hAnsi="Times New Roman" w:cs="Times New Roman"/>
        </w:rPr>
        <w:t>since 1965</w:t>
      </w:r>
      <w:r w:rsidR="00A712F0" w:rsidRPr="008075A4">
        <w:rPr>
          <w:rFonts w:ascii="Times New Roman" w:eastAsia="Times New Roman" w:hAnsi="Times New Roman" w:cs="Times New Roman"/>
        </w:rPr>
        <w:t xml:space="preserve"> – an increase in women and students of color, in particular –</w:t>
      </w:r>
      <w:r w:rsidR="003663B8" w:rsidRPr="008075A4">
        <w:rPr>
          <w:rFonts w:ascii="Times New Roman" w:eastAsia="Times New Roman" w:hAnsi="Times New Roman" w:cs="Times New Roman"/>
        </w:rPr>
        <w:t xml:space="preserve"> it is fitting that HEA undergo </w:t>
      </w:r>
      <w:r w:rsidR="00A84EDE" w:rsidRPr="008075A4">
        <w:rPr>
          <w:rFonts w:ascii="Times New Roman" w:eastAsia="Times New Roman" w:hAnsi="Times New Roman" w:cs="Times New Roman"/>
        </w:rPr>
        <w:t>reauthorizations</w:t>
      </w:r>
      <w:r w:rsidR="003663B8" w:rsidRPr="008075A4">
        <w:rPr>
          <w:rFonts w:ascii="Times New Roman" w:eastAsia="Times New Roman" w:hAnsi="Times New Roman" w:cs="Times New Roman"/>
        </w:rPr>
        <w:t xml:space="preserve"> to </w:t>
      </w:r>
      <w:r w:rsidR="00D26D3B" w:rsidRPr="008075A4">
        <w:rPr>
          <w:rFonts w:ascii="Times New Roman" w:eastAsia="Times New Roman" w:hAnsi="Times New Roman" w:cs="Times New Roman"/>
        </w:rPr>
        <w:t>ensure that it contin</w:t>
      </w:r>
      <w:r w:rsidR="00BF12A2" w:rsidRPr="008075A4">
        <w:rPr>
          <w:rFonts w:ascii="Times New Roman" w:eastAsia="Times New Roman" w:hAnsi="Times New Roman" w:cs="Times New Roman"/>
        </w:rPr>
        <w:t>ue to deliver on its original intent to</w:t>
      </w:r>
      <w:r w:rsidR="00D26D3B" w:rsidRPr="008075A4">
        <w:rPr>
          <w:rFonts w:ascii="Times New Roman" w:eastAsia="Times New Roman" w:hAnsi="Times New Roman" w:cs="Times New Roman"/>
        </w:rPr>
        <w:t xml:space="preserve"> improve equitable access for students. </w:t>
      </w:r>
      <w:r w:rsidR="00E02847" w:rsidRPr="008075A4">
        <w:rPr>
          <w:rFonts w:ascii="Times New Roman" w:eastAsia="Times New Roman" w:hAnsi="Times New Roman" w:cs="Times New Roman"/>
        </w:rPr>
        <w:t>T</w:t>
      </w:r>
      <w:r w:rsidR="003663B8" w:rsidRPr="008075A4">
        <w:rPr>
          <w:rFonts w:ascii="Times New Roman" w:eastAsia="Times New Roman" w:hAnsi="Times New Roman" w:cs="Times New Roman"/>
        </w:rPr>
        <w:t>he</w:t>
      </w:r>
      <w:r w:rsidR="002530D6" w:rsidRPr="008075A4">
        <w:rPr>
          <w:rFonts w:ascii="Times New Roman" w:eastAsia="Times New Roman" w:hAnsi="Times New Roman" w:cs="Times New Roman"/>
        </w:rPr>
        <w:t xml:space="preserve"> landscape of higher education has changed in ways unimagi</w:t>
      </w:r>
      <w:r w:rsidR="00624EB7" w:rsidRPr="008075A4">
        <w:rPr>
          <w:rFonts w:ascii="Times New Roman" w:eastAsia="Times New Roman" w:hAnsi="Times New Roman" w:cs="Times New Roman"/>
        </w:rPr>
        <w:t xml:space="preserve">nable </w:t>
      </w:r>
      <w:r w:rsidR="002530D6" w:rsidRPr="008075A4">
        <w:rPr>
          <w:rFonts w:ascii="Times New Roman" w:eastAsia="Times New Roman" w:hAnsi="Times New Roman" w:cs="Times New Roman"/>
        </w:rPr>
        <w:t>in 1965</w:t>
      </w:r>
      <w:r w:rsidR="00624EB7" w:rsidRPr="008075A4">
        <w:rPr>
          <w:rFonts w:ascii="Times New Roman" w:eastAsia="Times New Roman" w:hAnsi="Times New Roman" w:cs="Times New Roman"/>
        </w:rPr>
        <w:t xml:space="preserve">; for instance, the </w:t>
      </w:r>
      <w:r w:rsidR="003663B8" w:rsidRPr="008075A4">
        <w:rPr>
          <w:rFonts w:ascii="Times New Roman" w:eastAsia="Times New Roman" w:hAnsi="Times New Roman" w:cs="Times New Roman"/>
        </w:rPr>
        <w:t>advent and proliferation of technology in the classroom</w:t>
      </w:r>
      <w:r w:rsidR="00E02847" w:rsidRPr="008075A4">
        <w:rPr>
          <w:rFonts w:ascii="Times New Roman" w:eastAsia="Times New Roman" w:hAnsi="Times New Roman" w:cs="Times New Roman"/>
        </w:rPr>
        <w:t xml:space="preserve"> </w:t>
      </w:r>
      <w:r w:rsidR="00784670" w:rsidRPr="008075A4">
        <w:rPr>
          <w:rFonts w:ascii="Times New Roman" w:eastAsia="Times New Roman" w:hAnsi="Times New Roman" w:cs="Times New Roman"/>
        </w:rPr>
        <w:t>is responsible for</w:t>
      </w:r>
      <w:r w:rsidR="00880976" w:rsidRPr="008075A4">
        <w:rPr>
          <w:rFonts w:ascii="Times New Roman" w:eastAsia="Times New Roman" w:hAnsi="Times New Roman" w:cs="Times New Roman"/>
        </w:rPr>
        <w:t xml:space="preserve"> a </w:t>
      </w:r>
      <w:r w:rsidR="003663B8" w:rsidRPr="008075A4">
        <w:rPr>
          <w:rFonts w:ascii="Times New Roman" w:eastAsia="Times New Roman" w:hAnsi="Times New Roman" w:cs="Times New Roman"/>
        </w:rPr>
        <w:t>myriad</w:t>
      </w:r>
      <w:r w:rsidR="00880976" w:rsidRPr="008075A4">
        <w:rPr>
          <w:rFonts w:ascii="Times New Roman" w:eastAsia="Times New Roman" w:hAnsi="Times New Roman" w:cs="Times New Roman"/>
        </w:rPr>
        <w:t xml:space="preserve"> of</w:t>
      </w:r>
      <w:r w:rsidR="00047FDE" w:rsidRPr="008075A4">
        <w:rPr>
          <w:rFonts w:ascii="Times New Roman" w:eastAsia="Times New Roman" w:hAnsi="Times New Roman" w:cs="Times New Roman"/>
        </w:rPr>
        <w:t xml:space="preserve"> innovative</w:t>
      </w:r>
      <w:r w:rsidR="003663B8" w:rsidRPr="008075A4">
        <w:rPr>
          <w:rFonts w:ascii="Times New Roman" w:eastAsia="Times New Roman" w:hAnsi="Times New Roman" w:cs="Times New Roman"/>
        </w:rPr>
        <w:t xml:space="preserve"> content delivery methods</w:t>
      </w:r>
      <w:r w:rsidR="006F7BAE" w:rsidRPr="008075A4">
        <w:rPr>
          <w:rFonts w:ascii="Times New Roman" w:eastAsia="Times New Roman" w:hAnsi="Times New Roman" w:cs="Times New Roman"/>
        </w:rPr>
        <w:t xml:space="preserve"> available for </w:t>
      </w:r>
      <w:r w:rsidR="00880976" w:rsidRPr="008075A4">
        <w:rPr>
          <w:rFonts w:ascii="Times New Roman" w:eastAsia="Times New Roman" w:hAnsi="Times New Roman" w:cs="Times New Roman"/>
        </w:rPr>
        <w:t>educators</w:t>
      </w:r>
      <w:r w:rsidR="007D2BE5" w:rsidRPr="008075A4">
        <w:rPr>
          <w:rFonts w:ascii="Times New Roman" w:eastAsia="Times New Roman" w:hAnsi="Times New Roman" w:cs="Times New Roman"/>
        </w:rPr>
        <w:t xml:space="preserve"> </w:t>
      </w:r>
      <w:r w:rsidR="00AE520B" w:rsidRPr="008075A4">
        <w:rPr>
          <w:rFonts w:ascii="Times New Roman" w:eastAsia="Times New Roman" w:hAnsi="Times New Roman" w:cs="Times New Roman"/>
        </w:rPr>
        <w:t>as well as</w:t>
      </w:r>
      <w:r w:rsidR="007D2BE5" w:rsidRPr="008075A4">
        <w:rPr>
          <w:rFonts w:ascii="Times New Roman" w:eastAsia="Times New Roman" w:hAnsi="Times New Roman" w:cs="Times New Roman"/>
        </w:rPr>
        <w:t xml:space="preserve"> </w:t>
      </w:r>
      <w:r w:rsidR="00047FDE" w:rsidRPr="008075A4">
        <w:rPr>
          <w:rFonts w:ascii="Times New Roman" w:eastAsia="Times New Roman" w:hAnsi="Times New Roman" w:cs="Times New Roman"/>
        </w:rPr>
        <w:t xml:space="preserve">new </w:t>
      </w:r>
      <w:r w:rsidR="007D2BE5" w:rsidRPr="008075A4">
        <w:rPr>
          <w:rFonts w:ascii="Times New Roman" w:eastAsia="Times New Roman" w:hAnsi="Times New Roman" w:cs="Times New Roman"/>
        </w:rPr>
        <w:t xml:space="preserve">conversations about </w:t>
      </w:r>
      <w:r w:rsidR="00047FDE" w:rsidRPr="008075A4">
        <w:rPr>
          <w:rFonts w:ascii="Times New Roman" w:eastAsia="Times New Roman" w:hAnsi="Times New Roman" w:cs="Times New Roman"/>
        </w:rPr>
        <w:t>affordability</w:t>
      </w:r>
      <w:r w:rsidR="006F7BAE" w:rsidRPr="008075A4">
        <w:rPr>
          <w:rFonts w:ascii="Times New Roman" w:eastAsia="Times New Roman" w:hAnsi="Times New Roman" w:cs="Times New Roman"/>
        </w:rPr>
        <w:t>.</w:t>
      </w:r>
      <w:r w:rsidR="00212701" w:rsidRPr="008075A4">
        <w:rPr>
          <w:rFonts w:ascii="Times New Roman" w:eastAsia="Times New Roman" w:hAnsi="Times New Roman" w:cs="Times New Roman"/>
        </w:rPr>
        <w:t xml:space="preserve"> </w:t>
      </w:r>
      <w:r w:rsidR="00311BB8" w:rsidRPr="008075A4">
        <w:rPr>
          <w:rFonts w:ascii="Times New Roman" w:eastAsia="Times New Roman" w:hAnsi="Times New Roman" w:cs="Times New Roman"/>
        </w:rPr>
        <w:t xml:space="preserve">Since its </w:t>
      </w:r>
      <w:r w:rsidR="00823C94" w:rsidRPr="008075A4">
        <w:rPr>
          <w:rFonts w:ascii="Times New Roman" w:eastAsia="Times New Roman" w:hAnsi="Times New Roman" w:cs="Times New Roman"/>
        </w:rPr>
        <w:t>inception</w:t>
      </w:r>
      <w:r w:rsidR="00212701" w:rsidRPr="008075A4">
        <w:rPr>
          <w:rFonts w:ascii="Times New Roman" w:eastAsia="Times New Roman" w:hAnsi="Times New Roman" w:cs="Times New Roman"/>
        </w:rPr>
        <w:t xml:space="preserve">, HEA has had eight reauthorizations </w:t>
      </w:r>
      <w:r w:rsidR="0061247A" w:rsidRPr="008075A4">
        <w:rPr>
          <w:rFonts w:ascii="Times New Roman" w:eastAsia="Times New Roman" w:hAnsi="Times New Roman" w:cs="Times New Roman"/>
        </w:rPr>
        <w:t>and</w:t>
      </w:r>
      <w:r w:rsidR="00212701" w:rsidRPr="008075A4">
        <w:rPr>
          <w:rFonts w:ascii="Times New Roman" w:eastAsia="Times New Roman" w:hAnsi="Times New Roman" w:cs="Times New Roman"/>
        </w:rPr>
        <w:t xml:space="preserve"> each </w:t>
      </w:r>
      <w:r w:rsidR="00822385" w:rsidRPr="008075A4">
        <w:rPr>
          <w:rFonts w:ascii="Times New Roman" w:eastAsia="Times New Roman" w:hAnsi="Times New Roman" w:cs="Times New Roman"/>
        </w:rPr>
        <w:t xml:space="preserve">version </w:t>
      </w:r>
      <w:r w:rsidR="00BF12A2" w:rsidRPr="008075A4">
        <w:rPr>
          <w:rFonts w:ascii="Times New Roman" w:eastAsia="Times New Roman" w:hAnsi="Times New Roman" w:cs="Times New Roman"/>
        </w:rPr>
        <w:t xml:space="preserve">has </w:t>
      </w:r>
      <w:r w:rsidR="00822385" w:rsidRPr="008075A4">
        <w:rPr>
          <w:rFonts w:ascii="Times New Roman" w:eastAsia="Times New Roman" w:hAnsi="Times New Roman" w:cs="Times New Roman"/>
        </w:rPr>
        <w:t xml:space="preserve">sought to </w:t>
      </w:r>
      <w:r w:rsidR="00212701" w:rsidRPr="008075A4">
        <w:rPr>
          <w:rFonts w:ascii="Times New Roman" w:eastAsia="Times New Roman" w:hAnsi="Times New Roman" w:cs="Times New Roman"/>
        </w:rPr>
        <w:t>address</w:t>
      </w:r>
      <w:r w:rsidR="0061247A" w:rsidRPr="008075A4">
        <w:rPr>
          <w:rFonts w:ascii="Times New Roman" w:eastAsia="Times New Roman" w:hAnsi="Times New Roman" w:cs="Times New Roman"/>
        </w:rPr>
        <w:t xml:space="preserve"> </w:t>
      </w:r>
      <w:r w:rsidR="004B4AA9" w:rsidRPr="008075A4">
        <w:rPr>
          <w:rFonts w:ascii="Times New Roman" w:eastAsia="Times New Roman" w:hAnsi="Times New Roman" w:cs="Times New Roman"/>
        </w:rPr>
        <w:t xml:space="preserve">the evolution of </w:t>
      </w:r>
      <w:r w:rsidR="00BF12A2" w:rsidRPr="008075A4">
        <w:rPr>
          <w:rFonts w:ascii="Times New Roman" w:eastAsia="Times New Roman" w:hAnsi="Times New Roman" w:cs="Times New Roman"/>
        </w:rPr>
        <w:t>the nation’s higher education system</w:t>
      </w:r>
      <w:r w:rsidR="004B4AA9" w:rsidRPr="008075A4">
        <w:rPr>
          <w:rFonts w:ascii="Times New Roman" w:eastAsia="Times New Roman" w:hAnsi="Times New Roman" w:cs="Times New Roman"/>
        </w:rPr>
        <w:t xml:space="preserve"> </w:t>
      </w:r>
      <w:r w:rsidR="174C53E1" w:rsidRPr="008075A4">
        <w:rPr>
          <w:rFonts w:ascii="Times New Roman" w:eastAsia="Times New Roman" w:hAnsi="Times New Roman" w:cs="Times New Roman"/>
        </w:rPr>
        <w:t xml:space="preserve">and </w:t>
      </w:r>
      <w:r w:rsidR="004B4AA9" w:rsidRPr="008075A4">
        <w:rPr>
          <w:rFonts w:ascii="Times New Roman" w:eastAsia="Times New Roman" w:hAnsi="Times New Roman" w:cs="Times New Roman"/>
        </w:rPr>
        <w:t xml:space="preserve">rapidly changing </w:t>
      </w:r>
      <w:r w:rsidR="00BF12A2" w:rsidRPr="008075A4">
        <w:rPr>
          <w:rFonts w:ascii="Times New Roman" w:eastAsia="Times New Roman" w:hAnsi="Times New Roman" w:cs="Times New Roman"/>
        </w:rPr>
        <w:t xml:space="preserve">demographics. </w:t>
      </w:r>
      <w:r w:rsidR="160BB9D0" w:rsidRPr="008075A4">
        <w:rPr>
          <w:rFonts w:ascii="Times New Roman" w:eastAsia="Times New Roman" w:hAnsi="Times New Roman" w:cs="Times New Roman"/>
          <w:i/>
          <w:iCs/>
        </w:rPr>
        <w:t>See generally</w:t>
      </w:r>
      <w:r w:rsidR="160BB9D0" w:rsidRPr="008075A4">
        <w:rPr>
          <w:rFonts w:ascii="Times New Roman" w:eastAsia="Times New Roman" w:hAnsi="Times New Roman" w:cs="Times New Roman"/>
        </w:rPr>
        <w:t xml:space="preserve"> 20 U.S.C. </w:t>
      </w:r>
      <w:r w:rsidR="160BB9D0" w:rsidRPr="008075A4">
        <w:rPr>
          <w:rFonts w:ascii="Times New Roman" w:eastAsia="Times New Roman" w:hAnsi="Times New Roman" w:cs="Times New Roman"/>
          <w:color w:val="222222"/>
        </w:rPr>
        <w:t>§ 1070</w:t>
      </w:r>
      <w:r w:rsidR="038CD29B" w:rsidRPr="008075A4">
        <w:rPr>
          <w:rFonts w:ascii="Times New Roman" w:eastAsia="Times New Roman" w:hAnsi="Times New Roman" w:cs="Times New Roman"/>
          <w:color w:val="222222"/>
        </w:rPr>
        <w:t>.</w:t>
      </w:r>
    </w:p>
    <w:p w14:paraId="46F2BE0A" w14:textId="77777777" w:rsidR="002B4407" w:rsidRDefault="002B4407" w:rsidP="002B4407">
      <w:pPr>
        <w:contextualSpacing/>
        <w:rPr>
          <w:rFonts w:ascii="Times New Roman" w:eastAsia="Times New Roman" w:hAnsi="Times New Roman" w:cs="Times New Roman"/>
          <w:b/>
          <w:bCs/>
          <w:i/>
          <w:iCs/>
        </w:rPr>
      </w:pPr>
    </w:p>
    <w:p w14:paraId="762671ED" w14:textId="4D1FF024" w:rsidR="00562D32" w:rsidRDefault="00562D32" w:rsidP="002B4407">
      <w:pPr>
        <w:contextualSpacing/>
        <w:rPr>
          <w:rFonts w:ascii="Times New Roman" w:eastAsia="Times New Roman" w:hAnsi="Times New Roman" w:cs="Times New Roman"/>
          <w:b/>
          <w:bCs/>
          <w:i/>
          <w:iCs/>
        </w:rPr>
      </w:pPr>
      <w:r w:rsidRPr="008075A4">
        <w:rPr>
          <w:rFonts w:ascii="Times New Roman" w:eastAsia="Times New Roman" w:hAnsi="Times New Roman" w:cs="Times New Roman"/>
          <w:b/>
          <w:bCs/>
          <w:i/>
          <w:iCs/>
        </w:rPr>
        <w:t>Pell Grants and the Rise of the Carceral State</w:t>
      </w:r>
    </w:p>
    <w:p w14:paraId="153A08CF" w14:textId="77777777" w:rsidR="00596DBC" w:rsidRPr="008075A4" w:rsidRDefault="00596DBC" w:rsidP="002B4407">
      <w:pPr>
        <w:contextualSpacing/>
        <w:rPr>
          <w:rFonts w:ascii="Times New Roman" w:eastAsia="Times New Roman" w:hAnsi="Times New Roman" w:cs="Times New Roman"/>
          <w:b/>
          <w:bCs/>
          <w:i/>
          <w:iCs/>
        </w:rPr>
      </w:pPr>
    </w:p>
    <w:p w14:paraId="7FE9A2DF" w14:textId="0E776D6B" w:rsidR="00195DE3" w:rsidRDefault="00823C94" w:rsidP="002B4407">
      <w:pPr>
        <w:ind w:firstLine="720"/>
        <w:contextualSpacing/>
        <w:rPr>
          <w:rFonts w:ascii="Times New Roman" w:eastAsia="Times New Roman" w:hAnsi="Times New Roman" w:cs="Times New Roman"/>
        </w:rPr>
      </w:pPr>
      <w:r w:rsidRPr="008075A4">
        <w:rPr>
          <w:rFonts w:ascii="Times New Roman" w:eastAsia="Times New Roman" w:hAnsi="Times New Roman" w:cs="Times New Roman"/>
        </w:rPr>
        <w:t>Until the</w:t>
      </w:r>
      <w:r w:rsidR="00E72230" w:rsidRPr="008075A4">
        <w:rPr>
          <w:rFonts w:ascii="Times New Roman" w:eastAsia="Times New Roman" w:hAnsi="Times New Roman" w:cs="Times New Roman"/>
        </w:rPr>
        <w:t xml:space="preserve"> </w:t>
      </w:r>
      <w:r w:rsidR="00326452" w:rsidRPr="008075A4">
        <w:rPr>
          <w:rFonts w:ascii="Times New Roman" w:eastAsia="Times New Roman" w:hAnsi="Times New Roman" w:cs="Times New Roman"/>
        </w:rPr>
        <w:t>late twentieth century, Pell</w:t>
      </w:r>
      <w:r w:rsidR="00BF12A2" w:rsidRPr="008075A4">
        <w:rPr>
          <w:rFonts w:ascii="Times New Roman" w:eastAsia="Times New Roman" w:hAnsi="Times New Roman" w:cs="Times New Roman"/>
        </w:rPr>
        <w:t xml:space="preserve"> grants </w:t>
      </w:r>
      <w:r w:rsidR="004A7656" w:rsidRPr="008075A4">
        <w:rPr>
          <w:rFonts w:ascii="Times New Roman" w:eastAsia="Times New Roman" w:hAnsi="Times New Roman" w:cs="Times New Roman"/>
        </w:rPr>
        <w:t>served not only those students viewed as traditional students</w:t>
      </w:r>
      <w:r w:rsidR="00BF12A2" w:rsidRPr="008075A4">
        <w:rPr>
          <w:rFonts w:ascii="Times New Roman" w:eastAsia="Times New Roman" w:hAnsi="Times New Roman" w:cs="Times New Roman"/>
        </w:rPr>
        <w:t>,</w:t>
      </w:r>
      <w:r w:rsidR="004A7656" w:rsidRPr="008075A4">
        <w:rPr>
          <w:rFonts w:ascii="Times New Roman" w:eastAsia="Times New Roman" w:hAnsi="Times New Roman" w:cs="Times New Roman"/>
        </w:rPr>
        <w:t xml:space="preserve"> but </w:t>
      </w:r>
      <w:r w:rsidR="00BF12A2" w:rsidRPr="008075A4">
        <w:rPr>
          <w:rFonts w:ascii="Times New Roman" w:eastAsia="Times New Roman" w:hAnsi="Times New Roman" w:cs="Times New Roman"/>
        </w:rPr>
        <w:t>“</w:t>
      </w:r>
      <w:r w:rsidR="004A7656" w:rsidRPr="008075A4">
        <w:rPr>
          <w:rFonts w:ascii="Times New Roman" w:eastAsia="Times New Roman" w:hAnsi="Times New Roman" w:cs="Times New Roman"/>
        </w:rPr>
        <w:t>nontraditional</w:t>
      </w:r>
      <w:r w:rsidR="00BF12A2" w:rsidRPr="008075A4">
        <w:rPr>
          <w:rFonts w:ascii="Times New Roman" w:eastAsia="Times New Roman" w:hAnsi="Times New Roman" w:cs="Times New Roman"/>
        </w:rPr>
        <w:t xml:space="preserve">” </w:t>
      </w:r>
      <w:r w:rsidR="004A7656" w:rsidRPr="008075A4">
        <w:rPr>
          <w:rFonts w:ascii="Times New Roman" w:eastAsia="Times New Roman" w:hAnsi="Times New Roman" w:cs="Times New Roman"/>
        </w:rPr>
        <w:t>students</w:t>
      </w:r>
      <w:r w:rsidR="00BF12A2" w:rsidRPr="008075A4">
        <w:rPr>
          <w:rFonts w:ascii="Times New Roman" w:eastAsia="Times New Roman" w:hAnsi="Times New Roman" w:cs="Times New Roman"/>
        </w:rPr>
        <w:t xml:space="preserve"> as well</w:t>
      </w:r>
      <w:r w:rsidR="000C2692" w:rsidRPr="008075A4">
        <w:rPr>
          <w:rFonts w:ascii="Times New Roman" w:eastAsia="Times New Roman" w:hAnsi="Times New Roman" w:cs="Times New Roman"/>
        </w:rPr>
        <w:t>. I</w:t>
      </w:r>
      <w:r w:rsidR="004A7656" w:rsidRPr="008075A4">
        <w:rPr>
          <w:rFonts w:ascii="Times New Roman" w:eastAsia="Times New Roman" w:hAnsi="Times New Roman" w:cs="Times New Roman"/>
        </w:rPr>
        <w:t>ncarcerated persons</w:t>
      </w:r>
      <w:r w:rsidR="7A3CEDF8" w:rsidRPr="008075A4">
        <w:rPr>
          <w:rFonts w:ascii="Times New Roman" w:eastAsia="Times New Roman" w:hAnsi="Times New Roman" w:cs="Times New Roman"/>
        </w:rPr>
        <w:t>, for instance,</w:t>
      </w:r>
      <w:r w:rsidR="00455385" w:rsidRPr="008075A4">
        <w:rPr>
          <w:rFonts w:ascii="Times New Roman" w:eastAsia="Times New Roman" w:hAnsi="Times New Roman" w:cs="Times New Roman"/>
        </w:rPr>
        <w:t xml:space="preserve"> could access Pell </w:t>
      </w:r>
      <w:r w:rsidR="00BF12A2" w:rsidRPr="008075A4">
        <w:rPr>
          <w:rFonts w:ascii="Times New Roman" w:eastAsia="Times New Roman" w:hAnsi="Times New Roman" w:cs="Times New Roman"/>
        </w:rPr>
        <w:t xml:space="preserve">funds </w:t>
      </w:r>
      <w:r w:rsidR="00455385" w:rsidRPr="008075A4">
        <w:rPr>
          <w:rFonts w:ascii="Times New Roman" w:eastAsia="Times New Roman" w:hAnsi="Times New Roman" w:cs="Times New Roman"/>
        </w:rPr>
        <w:t>to enroll in college courses</w:t>
      </w:r>
      <w:r w:rsidR="00BF12A2" w:rsidRPr="008075A4">
        <w:rPr>
          <w:rFonts w:ascii="Times New Roman" w:eastAsia="Times New Roman" w:hAnsi="Times New Roman" w:cs="Times New Roman"/>
        </w:rPr>
        <w:t xml:space="preserve"> offered either inside facilities or by correspondence</w:t>
      </w:r>
      <w:r w:rsidR="000C2692" w:rsidRPr="008075A4">
        <w:rPr>
          <w:rFonts w:ascii="Times New Roman" w:eastAsia="Times New Roman" w:hAnsi="Times New Roman" w:cs="Times New Roman"/>
        </w:rPr>
        <w:t>; h</w:t>
      </w:r>
      <w:r w:rsidR="00455385" w:rsidRPr="008075A4">
        <w:rPr>
          <w:rFonts w:ascii="Times New Roman" w:eastAsia="Times New Roman" w:hAnsi="Times New Roman" w:cs="Times New Roman"/>
        </w:rPr>
        <w:t xml:space="preserve">owever, </w:t>
      </w:r>
      <w:r w:rsidR="7A3CEDF8" w:rsidRPr="008075A4">
        <w:rPr>
          <w:rFonts w:ascii="Times New Roman" w:eastAsia="Times New Roman" w:hAnsi="Times New Roman" w:cs="Times New Roman"/>
        </w:rPr>
        <w:t>t</w:t>
      </w:r>
      <w:r w:rsidR="00D763CB" w:rsidRPr="008075A4">
        <w:rPr>
          <w:rFonts w:ascii="Times New Roman" w:eastAsia="Times New Roman" w:hAnsi="Times New Roman" w:cs="Times New Roman"/>
        </w:rPr>
        <w:t xml:space="preserve">he </w:t>
      </w:r>
      <w:bookmarkStart w:id="3" w:name="_Hlk524705694"/>
      <w:r w:rsidR="00BF12A2" w:rsidRPr="008075A4">
        <w:rPr>
          <w:rFonts w:ascii="Times New Roman" w:eastAsia="Times New Roman" w:hAnsi="Times New Roman" w:cs="Times New Roman"/>
        </w:rPr>
        <w:t xml:space="preserve">Violent Crime Control and Law Enforcement Act </w:t>
      </w:r>
      <w:r w:rsidR="5A47389E" w:rsidRPr="008075A4">
        <w:rPr>
          <w:rFonts w:ascii="Times New Roman" w:eastAsia="Times New Roman" w:hAnsi="Times New Roman" w:cs="Times New Roman"/>
        </w:rPr>
        <w:t xml:space="preserve">(VCA) </w:t>
      </w:r>
      <w:r w:rsidR="00BF12A2" w:rsidRPr="008075A4">
        <w:rPr>
          <w:rFonts w:ascii="Times New Roman" w:eastAsia="Times New Roman" w:hAnsi="Times New Roman" w:cs="Times New Roman"/>
        </w:rPr>
        <w:t>of 1994</w:t>
      </w:r>
      <w:r w:rsidR="2C24D38F" w:rsidRPr="008075A4">
        <w:rPr>
          <w:rFonts w:ascii="Times New Roman" w:eastAsia="Times New Roman" w:hAnsi="Times New Roman" w:cs="Times New Roman"/>
        </w:rPr>
        <w:t>, 108 Stat. 179</w:t>
      </w:r>
      <w:r w:rsidR="00AF1A28" w:rsidRPr="008075A4">
        <w:rPr>
          <w:rFonts w:ascii="Times New Roman" w:eastAsia="Times New Roman" w:hAnsi="Times New Roman" w:cs="Times New Roman"/>
        </w:rPr>
        <w:t>6</w:t>
      </w:r>
      <w:bookmarkEnd w:id="3"/>
      <w:r w:rsidR="5A47389E" w:rsidRPr="008075A4">
        <w:rPr>
          <w:rFonts w:ascii="Times New Roman" w:eastAsia="Times New Roman" w:hAnsi="Times New Roman" w:cs="Times New Roman"/>
        </w:rPr>
        <w:t>,</w:t>
      </w:r>
      <w:r w:rsidR="00D763CB" w:rsidRPr="008075A4">
        <w:rPr>
          <w:rFonts w:ascii="Times New Roman" w:eastAsia="Times New Roman" w:hAnsi="Times New Roman" w:cs="Times New Roman"/>
        </w:rPr>
        <w:t xml:space="preserve"> </w:t>
      </w:r>
      <w:r w:rsidR="00BF12A2" w:rsidRPr="008075A4">
        <w:rPr>
          <w:rFonts w:ascii="Times New Roman" w:eastAsia="Times New Roman" w:hAnsi="Times New Roman" w:cs="Times New Roman"/>
        </w:rPr>
        <w:t>instated a ban</w:t>
      </w:r>
      <w:r w:rsidR="00D763CB" w:rsidRPr="008075A4">
        <w:rPr>
          <w:rFonts w:ascii="Times New Roman" w:eastAsia="Times New Roman" w:hAnsi="Times New Roman" w:cs="Times New Roman"/>
        </w:rPr>
        <w:t xml:space="preserve"> on Pell access for all incarcerated persons</w:t>
      </w:r>
      <w:r w:rsidR="000C2692" w:rsidRPr="008075A4">
        <w:rPr>
          <w:rFonts w:ascii="Times New Roman" w:eastAsia="Times New Roman" w:hAnsi="Times New Roman" w:cs="Times New Roman"/>
        </w:rPr>
        <w:t xml:space="preserve"> </w:t>
      </w:r>
      <w:r w:rsidR="003621F4" w:rsidRPr="008075A4">
        <w:rPr>
          <w:rFonts w:ascii="Times New Roman" w:eastAsia="Times New Roman" w:hAnsi="Times New Roman" w:cs="Times New Roman"/>
        </w:rPr>
        <w:t>(</w:t>
      </w:r>
      <w:r w:rsidR="00D763CB" w:rsidRPr="008075A4">
        <w:rPr>
          <w:rFonts w:ascii="Times New Roman" w:eastAsia="Times New Roman" w:hAnsi="Times New Roman" w:cs="Times New Roman"/>
        </w:rPr>
        <w:t>in addition to those who had completed sentences for a sexual offense conviction but were still under supervision in a mandated civil commitment</w:t>
      </w:r>
      <w:r w:rsidR="00BF12A2" w:rsidRPr="008075A4">
        <w:rPr>
          <w:rFonts w:ascii="Times New Roman" w:eastAsia="Times New Roman" w:hAnsi="Times New Roman" w:cs="Times New Roman"/>
        </w:rPr>
        <w:t>)</w:t>
      </w:r>
      <w:r w:rsidR="00300A77" w:rsidRPr="008075A4">
        <w:rPr>
          <w:rFonts w:ascii="Times New Roman" w:eastAsia="Times New Roman" w:hAnsi="Times New Roman" w:cs="Times New Roman"/>
        </w:rPr>
        <w:t>. T</w:t>
      </w:r>
      <w:r w:rsidR="00CB22F4" w:rsidRPr="008075A4">
        <w:rPr>
          <w:rFonts w:ascii="Times New Roman" w:eastAsia="Times New Roman" w:hAnsi="Times New Roman" w:cs="Times New Roman"/>
        </w:rPr>
        <w:t xml:space="preserve">he VCA, </w:t>
      </w:r>
      <w:r w:rsidR="19451C12" w:rsidRPr="008075A4">
        <w:rPr>
          <w:rFonts w:ascii="Times New Roman" w:eastAsia="Times New Roman" w:hAnsi="Times New Roman" w:cs="Times New Roman"/>
        </w:rPr>
        <w:t>through</w:t>
      </w:r>
      <w:r w:rsidR="3E5818F3" w:rsidRPr="008075A4">
        <w:rPr>
          <w:rFonts w:ascii="Times New Roman" w:eastAsia="Times New Roman" w:hAnsi="Times New Roman" w:cs="Times New Roman"/>
        </w:rPr>
        <w:t xml:space="preserve"> </w:t>
      </w:r>
      <w:r w:rsidR="00CB22F4" w:rsidRPr="008075A4">
        <w:rPr>
          <w:rFonts w:ascii="Times New Roman" w:eastAsia="Times New Roman" w:hAnsi="Times New Roman" w:cs="Times New Roman"/>
        </w:rPr>
        <w:t>the Judiciary Committee, amended</w:t>
      </w:r>
      <w:r w:rsidR="00D763CB" w:rsidRPr="008075A4">
        <w:rPr>
          <w:rFonts w:ascii="Times New Roman" w:eastAsia="Times New Roman" w:hAnsi="Times New Roman" w:cs="Times New Roman"/>
        </w:rPr>
        <w:t xml:space="preserve"> the Higher Education Act of 1965</w:t>
      </w:r>
      <w:r w:rsidR="00CB22F4" w:rsidRPr="008075A4">
        <w:rPr>
          <w:rFonts w:ascii="Times New Roman" w:eastAsia="Times New Roman" w:hAnsi="Times New Roman" w:cs="Times New Roman"/>
        </w:rPr>
        <w:t>, which</w:t>
      </w:r>
      <w:r w:rsidR="00535A27" w:rsidRPr="008075A4">
        <w:rPr>
          <w:rFonts w:ascii="Times New Roman" w:eastAsia="Times New Roman" w:hAnsi="Times New Roman" w:cs="Times New Roman"/>
        </w:rPr>
        <w:t xml:space="preserve"> </w:t>
      </w:r>
      <w:r w:rsidR="19451C12" w:rsidRPr="008075A4">
        <w:rPr>
          <w:rFonts w:ascii="Times New Roman" w:eastAsia="Times New Roman" w:hAnsi="Times New Roman" w:cs="Times New Roman"/>
        </w:rPr>
        <w:t xml:space="preserve">is under the jurisdiction of </w:t>
      </w:r>
      <w:r w:rsidR="00535A27" w:rsidRPr="008075A4">
        <w:rPr>
          <w:rFonts w:ascii="Times New Roman" w:eastAsia="Times New Roman" w:hAnsi="Times New Roman" w:cs="Times New Roman"/>
        </w:rPr>
        <w:t xml:space="preserve">the </w:t>
      </w:r>
      <w:r w:rsidR="3CE23F7D" w:rsidRPr="008075A4">
        <w:rPr>
          <w:rFonts w:ascii="Times New Roman" w:eastAsia="Times New Roman" w:hAnsi="Times New Roman" w:cs="Times New Roman"/>
        </w:rPr>
        <w:t xml:space="preserve">Senate Committee </w:t>
      </w:r>
      <w:r w:rsidR="1934AF1B" w:rsidRPr="008075A4">
        <w:rPr>
          <w:rFonts w:ascii="Times New Roman" w:eastAsia="Times New Roman" w:hAnsi="Times New Roman" w:cs="Times New Roman"/>
        </w:rPr>
        <w:t>on Health, Education, Labor, and Pensions (</w:t>
      </w:r>
      <w:r w:rsidR="00535A27" w:rsidRPr="008075A4">
        <w:rPr>
          <w:rFonts w:ascii="Times New Roman" w:eastAsia="Times New Roman" w:hAnsi="Times New Roman" w:cs="Times New Roman"/>
        </w:rPr>
        <w:t>HELP</w:t>
      </w:r>
      <w:r w:rsidR="1934AF1B" w:rsidRPr="008075A4">
        <w:rPr>
          <w:rFonts w:ascii="Times New Roman" w:eastAsia="Times New Roman" w:hAnsi="Times New Roman" w:cs="Times New Roman"/>
        </w:rPr>
        <w:t>).</w:t>
      </w:r>
      <w:r w:rsidR="00535A27" w:rsidRPr="008075A4">
        <w:rPr>
          <w:rFonts w:ascii="Times New Roman" w:eastAsia="Times New Roman" w:hAnsi="Times New Roman" w:cs="Times New Roman"/>
        </w:rPr>
        <w:t xml:space="preserve"> </w:t>
      </w:r>
      <w:r w:rsidR="00485530">
        <w:rPr>
          <w:rFonts w:ascii="Times New Roman" w:eastAsia="Times New Roman" w:hAnsi="Times New Roman" w:cs="Times New Roman"/>
        </w:rPr>
        <w:t>The Act barred</w:t>
      </w:r>
      <w:r w:rsidR="1123288C" w:rsidRPr="008075A4">
        <w:rPr>
          <w:rFonts w:ascii="Times New Roman" w:eastAsia="Times New Roman" w:hAnsi="Times New Roman" w:cs="Times New Roman"/>
        </w:rPr>
        <w:t xml:space="preserve"> individuals</w:t>
      </w:r>
      <w:r w:rsidR="00D763CB" w:rsidRPr="008075A4">
        <w:rPr>
          <w:rFonts w:ascii="Times New Roman" w:eastAsia="Times New Roman" w:hAnsi="Times New Roman" w:cs="Times New Roman"/>
        </w:rPr>
        <w:t xml:space="preserve"> who were incarcerated in </w:t>
      </w:r>
      <w:r w:rsidR="00485530">
        <w:rPr>
          <w:rFonts w:ascii="Times New Roman" w:eastAsia="Times New Roman" w:hAnsi="Times New Roman" w:cs="Times New Roman"/>
        </w:rPr>
        <w:t>f</w:t>
      </w:r>
      <w:r w:rsidR="00D763CB" w:rsidRPr="008075A4">
        <w:rPr>
          <w:rFonts w:ascii="Times New Roman" w:eastAsia="Times New Roman" w:hAnsi="Times New Roman" w:cs="Times New Roman"/>
        </w:rPr>
        <w:t xml:space="preserve">ederal or </w:t>
      </w:r>
      <w:r w:rsidR="00485530">
        <w:rPr>
          <w:rFonts w:ascii="Times New Roman" w:eastAsia="Times New Roman" w:hAnsi="Times New Roman" w:cs="Times New Roman"/>
        </w:rPr>
        <w:t>s</w:t>
      </w:r>
      <w:r w:rsidR="00D763CB" w:rsidRPr="008075A4">
        <w:rPr>
          <w:rFonts w:ascii="Times New Roman" w:eastAsia="Times New Roman" w:hAnsi="Times New Roman" w:cs="Times New Roman"/>
        </w:rPr>
        <w:t>tate</w:t>
      </w:r>
      <w:r w:rsidR="00AA0623" w:rsidRPr="008075A4">
        <w:rPr>
          <w:rFonts w:ascii="Times New Roman" w:eastAsia="Times New Roman" w:hAnsi="Times New Roman" w:cs="Times New Roman"/>
        </w:rPr>
        <w:t xml:space="preserve"> </w:t>
      </w:r>
      <w:r w:rsidR="00BF12A2" w:rsidRPr="008075A4">
        <w:rPr>
          <w:rFonts w:ascii="Times New Roman" w:eastAsia="Times New Roman" w:hAnsi="Times New Roman" w:cs="Times New Roman"/>
        </w:rPr>
        <w:t>penal institutions</w:t>
      </w:r>
      <w:r w:rsidR="00D763CB" w:rsidRPr="008075A4">
        <w:rPr>
          <w:rFonts w:ascii="Times New Roman" w:eastAsia="Times New Roman" w:hAnsi="Times New Roman" w:cs="Times New Roman"/>
        </w:rPr>
        <w:t xml:space="preserve"> from </w:t>
      </w:r>
      <w:r w:rsidR="00485530">
        <w:rPr>
          <w:rFonts w:ascii="Times New Roman" w:eastAsia="Times New Roman" w:hAnsi="Times New Roman" w:cs="Times New Roman"/>
        </w:rPr>
        <w:t>accessing</w:t>
      </w:r>
      <w:r w:rsidR="00485530" w:rsidRPr="008075A4">
        <w:rPr>
          <w:rFonts w:ascii="Times New Roman" w:eastAsia="Times New Roman" w:hAnsi="Times New Roman" w:cs="Times New Roman"/>
        </w:rPr>
        <w:t xml:space="preserve"> </w:t>
      </w:r>
      <w:r w:rsidR="00D763CB" w:rsidRPr="008075A4">
        <w:rPr>
          <w:rFonts w:ascii="Times New Roman" w:eastAsia="Times New Roman" w:hAnsi="Times New Roman" w:cs="Times New Roman"/>
        </w:rPr>
        <w:t xml:space="preserve">Pell funds. </w:t>
      </w:r>
      <w:r w:rsidR="1178BBC5" w:rsidRPr="008075A4">
        <w:rPr>
          <w:rFonts w:ascii="Times New Roman" w:eastAsia="Times New Roman" w:hAnsi="Times New Roman" w:cs="Times New Roman"/>
          <w:i/>
          <w:iCs/>
        </w:rPr>
        <w:t>Id.</w:t>
      </w:r>
      <w:r w:rsidR="1178BBC5" w:rsidRPr="008075A4">
        <w:rPr>
          <w:rFonts w:ascii="Times New Roman" w:eastAsia="Times New Roman" w:hAnsi="Times New Roman" w:cs="Times New Roman"/>
        </w:rPr>
        <w:t xml:space="preserve"> </w:t>
      </w:r>
      <w:r w:rsidR="5857B08E" w:rsidRPr="008075A4">
        <w:rPr>
          <w:rFonts w:ascii="Times New Roman" w:eastAsia="Times New Roman" w:hAnsi="Times New Roman" w:cs="Times New Roman"/>
        </w:rPr>
        <w:t>at *1828.</w:t>
      </w:r>
      <w:r w:rsidR="1178BBC5" w:rsidRPr="008075A4">
        <w:rPr>
          <w:rFonts w:ascii="Times New Roman" w:eastAsia="Times New Roman" w:hAnsi="Times New Roman" w:cs="Times New Roman"/>
        </w:rPr>
        <w:t xml:space="preserve"> </w:t>
      </w:r>
    </w:p>
    <w:p w14:paraId="6E70B820" w14:textId="77777777" w:rsidR="00596DBC" w:rsidRPr="008075A4" w:rsidRDefault="00596DBC" w:rsidP="002B4407">
      <w:pPr>
        <w:ind w:firstLine="720"/>
        <w:contextualSpacing/>
        <w:rPr>
          <w:rFonts w:ascii="Times New Roman" w:eastAsia="Times New Roman" w:hAnsi="Times New Roman" w:cs="Times New Roman"/>
        </w:rPr>
      </w:pPr>
    </w:p>
    <w:p w14:paraId="3BF0D5EF" w14:textId="1E13E393" w:rsidR="00E17DDD" w:rsidRDefault="006C2F98" w:rsidP="002B4407">
      <w:pPr>
        <w:ind w:firstLine="720"/>
        <w:contextualSpacing/>
        <w:rPr>
          <w:rFonts w:ascii="Times New Roman" w:hAnsi="Times New Roman" w:cs="Times New Roman"/>
        </w:rPr>
      </w:pPr>
      <w:r w:rsidRPr="008075A4">
        <w:rPr>
          <w:rFonts w:ascii="Times New Roman" w:eastAsia="Times New Roman" w:hAnsi="Times New Roman" w:cs="Times New Roman"/>
        </w:rPr>
        <w:t xml:space="preserve">Contrary to popular belief, the restriction of Pell for confined learners was </w:t>
      </w:r>
      <w:r w:rsidR="00532E5A" w:rsidRPr="008075A4">
        <w:rPr>
          <w:rFonts w:ascii="Times New Roman" w:eastAsia="Times New Roman" w:hAnsi="Times New Roman" w:cs="Times New Roman"/>
        </w:rPr>
        <w:t xml:space="preserve">not </w:t>
      </w:r>
      <w:r w:rsidR="001849C9" w:rsidRPr="008075A4">
        <w:rPr>
          <w:rFonts w:ascii="Times New Roman" w:eastAsia="Times New Roman" w:hAnsi="Times New Roman" w:cs="Times New Roman"/>
        </w:rPr>
        <w:t xml:space="preserve">a sudden </w:t>
      </w:r>
      <w:r w:rsidR="00E17DDD" w:rsidRPr="008075A4">
        <w:rPr>
          <w:rFonts w:ascii="Times New Roman" w:eastAsia="Times New Roman" w:hAnsi="Times New Roman" w:cs="Times New Roman"/>
        </w:rPr>
        <w:t xml:space="preserve">shift </w:t>
      </w:r>
      <w:r w:rsidR="00111647" w:rsidRPr="008075A4">
        <w:rPr>
          <w:rFonts w:ascii="Times New Roman" w:eastAsia="Times New Roman" w:hAnsi="Times New Roman" w:cs="Times New Roman"/>
        </w:rPr>
        <w:t>but</w:t>
      </w:r>
      <w:r w:rsidR="001849C9" w:rsidRPr="008075A4">
        <w:rPr>
          <w:rFonts w:ascii="Times New Roman" w:eastAsia="Times New Roman" w:hAnsi="Times New Roman" w:cs="Times New Roman"/>
        </w:rPr>
        <w:t xml:space="preserve"> </w:t>
      </w:r>
      <w:r w:rsidR="00E17DDD" w:rsidRPr="008075A4">
        <w:rPr>
          <w:rFonts w:ascii="Times New Roman" w:eastAsia="Times New Roman" w:hAnsi="Times New Roman" w:cs="Times New Roman"/>
        </w:rPr>
        <w:t xml:space="preserve">was </w:t>
      </w:r>
      <w:r w:rsidR="001849C9" w:rsidRPr="008075A4">
        <w:rPr>
          <w:rFonts w:ascii="Times New Roman" w:eastAsia="Times New Roman" w:hAnsi="Times New Roman" w:cs="Times New Roman"/>
        </w:rPr>
        <w:t>in fact</w:t>
      </w:r>
      <w:r w:rsidR="00283991" w:rsidRPr="008075A4">
        <w:rPr>
          <w:rFonts w:ascii="Times New Roman" w:eastAsia="Times New Roman" w:hAnsi="Times New Roman" w:cs="Times New Roman"/>
        </w:rPr>
        <w:t xml:space="preserve"> a</w:t>
      </w:r>
      <w:r w:rsidRPr="008075A4">
        <w:rPr>
          <w:rFonts w:ascii="Times New Roman" w:eastAsia="Times New Roman" w:hAnsi="Times New Roman" w:cs="Times New Roman"/>
        </w:rPr>
        <w:t xml:space="preserve"> process that occurred over the course of a</w:t>
      </w:r>
      <w:r w:rsidR="000D7A34" w:rsidRPr="008075A4">
        <w:rPr>
          <w:rFonts w:ascii="Times New Roman" w:eastAsia="Times New Roman" w:hAnsi="Times New Roman" w:cs="Times New Roman"/>
        </w:rPr>
        <w:t xml:space="preserve">lmost a </w:t>
      </w:r>
      <w:r w:rsidR="00BA6282" w:rsidRPr="008075A4">
        <w:rPr>
          <w:rFonts w:ascii="Times New Roman" w:eastAsia="Times New Roman" w:hAnsi="Times New Roman" w:cs="Times New Roman"/>
        </w:rPr>
        <w:t>decade and culminated with the 1994 ban</w:t>
      </w:r>
      <w:sdt>
        <w:sdtPr>
          <w:rPr>
            <w:rFonts w:ascii="Times New Roman" w:hAnsi="Times New Roman" w:cs="Times New Roman"/>
          </w:rPr>
          <w:id w:val="1757479430"/>
          <w:citation/>
        </w:sdtPr>
        <w:sdtEndPr/>
        <w:sdtContent>
          <w:r w:rsidR="00F956CF" w:rsidRPr="008E04F3">
            <w:rPr>
              <w:rFonts w:ascii="Times New Roman" w:hAnsi="Times New Roman" w:cs="Times New Roman"/>
            </w:rPr>
            <w:fldChar w:fldCharType="begin"/>
          </w:r>
          <w:r w:rsidR="00F956CF" w:rsidRPr="008075A4">
            <w:rPr>
              <w:rFonts w:ascii="Times New Roman" w:hAnsi="Times New Roman" w:cs="Times New Roman"/>
            </w:rPr>
            <w:instrText xml:space="preserve"> CITATION Geh97 \l 1033 </w:instrText>
          </w:r>
          <w:r w:rsidR="00F956CF" w:rsidRPr="008E04F3">
            <w:rPr>
              <w:rFonts w:ascii="Times New Roman" w:hAnsi="Times New Roman" w:cs="Times New Roman"/>
            </w:rPr>
            <w:fldChar w:fldCharType="separate"/>
          </w:r>
          <w:r w:rsidR="0075233E" w:rsidRPr="008075A4">
            <w:rPr>
              <w:rFonts w:ascii="Times New Roman" w:hAnsi="Times New Roman" w:cs="Times New Roman"/>
              <w:noProof/>
            </w:rPr>
            <w:t xml:space="preserve"> (Gehring 1997)</w:t>
          </w:r>
          <w:r w:rsidR="00F956CF" w:rsidRPr="008E04F3">
            <w:rPr>
              <w:rFonts w:ascii="Times New Roman" w:hAnsi="Times New Roman" w:cs="Times New Roman"/>
            </w:rPr>
            <w:fldChar w:fldCharType="end"/>
          </w:r>
        </w:sdtContent>
      </w:sdt>
      <w:r w:rsidRPr="008075A4">
        <w:rPr>
          <w:rFonts w:ascii="Times New Roman" w:eastAsia="Times New Roman" w:hAnsi="Times New Roman" w:cs="Times New Roman"/>
        </w:rPr>
        <w:t xml:space="preserve">. The </w:t>
      </w:r>
      <w:r w:rsidR="000D7A34" w:rsidRPr="008075A4">
        <w:rPr>
          <w:rFonts w:ascii="Times New Roman" w:eastAsia="Times New Roman" w:hAnsi="Times New Roman" w:cs="Times New Roman"/>
        </w:rPr>
        <w:t>late</w:t>
      </w:r>
      <w:r w:rsidRPr="008075A4">
        <w:rPr>
          <w:rFonts w:ascii="Times New Roman" w:eastAsia="Times New Roman" w:hAnsi="Times New Roman" w:cs="Times New Roman"/>
        </w:rPr>
        <w:t xml:space="preserve"> 1980s</w:t>
      </w:r>
      <w:r w:rsidR="00E17DDD" w:rsidRPr="008075A4">
        <w:rPr>
          <w:rFonts w:ascii="Times New Roman" w:eastAsia="Times New Roman" w:hAnsi="Times New Roman" w:cs="Times New Roman"/>
        </w:rPr>
        <w:t xml:space="preserve">, for instance, </w:t>
      </w:r>
      <w:r w:rsidRPr="008075A4">
        <w:rPr>
          <w:rFonts w:ascii="Times New Roman" w:eastAsia="Times New Roman" w:hAnsi="Times New Roman" w:cs="Times New Roman"/>
        </w:rPr>
        <w:t xml:space="preserve">saw multiple congressional attempts to decrease </w:t>
      </w:r>
      <w:r w:rsidR="00E17DDD" w:rsidRPr="008075A4">
        <w:rPr>
          <w:rFonts w:ascii="Times New Roman" w:eastAsia="Times New Roman" w:hAnsi="Times New Roman" w:cs="Times New Roman"/>
        </w:rPr>
        <w:t>Pell funding</w:t>
      </w:r>
      <w:r w:rsidRPr="008075A4">
        <w:rPr>
          <w:rFonts w:ascii="Times New Roman" w:eastAsia="Times New Roman" w:hAnsi="Times New Roman" w:cs="Times New Roman"/>
        </w:rPr>
        <w:t xml:space="preserve"> for confined learners</w:t>
      </w:r>
      <w:r w:rsidR="00060C5C" w:rsidRPr="008075A4">
        <w:rPr>
          <w:rFonts w:ascii="Times New Roman" w:eastAsia="Times New Roman" w:hAnsi="Times New Roman" w:cs="Times New Roman"/>
        </w:rPr>
        <w:t xml:space="preserve"> </w:t>
      </w:r>
      <w:r w:rsidR="00FD6E27" w:rsidRPr="008075A4">
        <w:rPr>
          <w:rFonts w:ascii="Times New Roman" w:eastAsia="Times New Roman" w:hAnsi="Times New Roman" w:cs="Times New Roman"/>
        </w:rPr>
        <w:t>through decreases in appropriations</w:t>
      </w:r>
      <w:r w:rsidRPr="008075A4">
        <w:rPr>
          <w:rFonts w:ascii="Times New Roman" w:eastAsia="Times New Roman" w:hAnsi="Times New Roman" w:cs="Times New Roman"/>
        </w:rPr>
        <w:t xml:space="preserve">. By </w:t>
      </w:r>
      <w:r w:rsidRPr="008075A4">
        <w:rPr>
          <w:rFonts w:ascii="Times New Roman" w:eastAsia="Times New Roman" w:hAnsi="Times New Roman" w:cs="Times New Roman"/>
        </w:rPr>
        <w:lastRenderedPageBreak/>
        <w:t xml:space="preserve">1992, </w:t>
      </w:r>
      <w:r w:rsidR="00F850FC" w:rsidRPr="008075A4">
        <w:rPr>
          <w:rFonts w:ascii="Times New Roman" w:eastAsia="Times New Roman" w:hAnsi="Times New Roman" w:cs="Times New Roman"/>
        </w:rPr>
        <w:t xml:space="preserve">concrete federal aid </w:t>
      </w:r>
      <w:r w:rsidRPr="008075A4">
        <w:rPr>
          <w:rFonts w:ascii="Times New Roman" w:eastAsia="Times New Roman" w:hAnsi="Times New Roman" w:cs="Times New Roman"/>
        </w:rPr>
        <w:t xml:space="preserve">restrictions </w:t>
      </w:r>
      <w:r w:rsidR="00F850FC" w:rsidRPr="008075A4">
        <w:rPr>
          <w:rFonts w:ascii="Times New Roman" w:eastAsia="Times New Roman" w:hAnsi="Times New Roman" w:cs="Times New Roman"/>
        </w:rPr>
        <w:t>around student and institutional eligibility</w:t>
      </w:r>
      <w:r w:rsidR="00FE6BFA" w:rsidRPr="008075A4">
        <w:rPr>
          <w:rFonts w:ascii="Times New Roman" w:eastAsia="Times New Roman" w:hAnsi="Times New Roman" w:cs="Times New Roman"/>
        </w:rPr>
        <w:t xml:space="preserve"> </w:t>
      </w:r>
      <w:r w:rsidRPr="008075A4">
        <w:rPr>
          <w:rFonts w:ascii="Times New Roman" w:eastAsia="Times New Roman" w:hAnsi="Times New Roman" w:cs="Times New Roman"/>
        </w:rPr>
        <w:t>were in place</w:t>
      </w:r>
      <w:r w:rsidR="002B4407">
        <w:rPr>
          <w:rFonts w:ascii="Times New Roman" w:eastAsia="Times New Roman" w:hAnsi="Times New Roman" w:cs="Times New Roman"/>
        </w:rPr>
        <w:t>,</w:t>
      </w:r>
      <w:r w:rsidR="00195DE3" w:rsidRPr="008075A4">
        <w:rPr>
          <w:rFonts w:ascii="Times New Roman" w:eastAsia="Times New Roman" w:hAnsi="Times New Roman" w:cs="Times New Roman"/>
        </w:rPr>
        <w:t xml:space="preserve"> </w:t>
      </w:r>
      <w:r w:rsidR="00164904" w:rsidRPr="008075A4">
        <w:rPr>
          <w:rFonts w:ascii="Times New Roman" w:eastAsia="Times New Roman" w:hAnsi="Times New Roman" w:cs="Times New Roman"/>
        </w:rPr>
        <w:t>which profoundly impacted</w:t>
      </w:r>
      <w:r w:rsidR="00195DE3" w:rsidRPr="008075A4">
        <w:rPr>
          <w:rFonts w:ascii="Times New Roman" w:eastAsia="Times New Roman" w:hAnsi="Times New Roman" w:cs="Times New Roman"/>
        </w:rPr>
        <w:t xml:space="preserve"> confined learners enrolled in postsecondary education</w:t>
      </w:r>
      <w:r w:rsidR="00485530">
        <w:rPr>
          <w:rFonts w:ascii="Times New Roman" w:eastAsia="Times New Roman" w:hAnsi="Times New Roman" w:cs="Times New Roman"/>
        </w:rPr>
        <w:t>. S</w:t>
      </w:r>
      <w:r w:rsidR="00195DE3" w:rsidRPr="008075A4">
        <w:rPr>
          <w:rFonts w:ascii="Times New Roman" w:eastAsia="Times New Roman" w:hAnsi="Times New Roman" w:cs="Times New Roman"/>
        </w:rPr>
        <w:t xml:space="preserve">tudents sentenced to either life without parole </w:t>
      </w:r>
      <w:r w:rsidR="00FE6BFA" w:rsidRPr="008075A4">
        <w:rPr>
          <w:rFonts w:ascii="Times New Roman" w:eastAsia="Times New Roman" w:hAnsi="Times New Roman" w:cs="Times New Roman"/>
        </w:rPr>
        <w:t xml:space="preserve">or </w:t>
      </w:r>
      <w:r w:rsidR="009D5047">
        <w:rPr>
          <w:rFonts w:ascii="Times New Roman" w:eastAsia="Times New Roman" w:hAnsi="Times New Roman" w:cs="Times New Roman"/>
        </w:rPr>
        <w:t>who were sentenced</w:t>
      </w:r>
      <w:r w:rsidR="00485530">
        <w:rPr>
          <w:rFonts w:ascii="Times New Roman" w:eastAsia="Times New Roman" w:hAnsi="Times New Roman" w:cs="Times New Roman"/>
        </w:rPr>
        <w:t xml:space="preserve"> to </w:t>
      </w:r>
      <w:r w:rsidR="00FE6BFA" w:rsidRPr="008075A4">
        <w:rPr>
          <w:rFonts w:ascii="Times New Roman" w:eastAsia="Times New Roman" w:hAnsi="Times New Roman" w:cs="Times New Roman"/>
        </w:rPr>
        <w:t>death</w:t>
      </w:r>
      <w:r w:rsidR="00485530">
        <w:rPr>
          <w:rFonts w:ascii="Times New Roman" w:eastAsia="Times New Roman" w:hAnsi="Times New Roman" w:cs="Times New Roman"/>
        </w:rPr>
        <w:t xml:space="preserve"> row</w:t>
      </w:r>
      <w:r w:rsidR="00FE6BFA" w:rsidRPr="008075A4">
        <w:rPr>
          <w:rFonts w:ascii="Times New Roman" w:eastAsia="Times New Roman" w:hAnsi="Times New Roman" w:cs="Times New Roman"/>
        </w:rPr>
        <w:t xml:space="preserve"> </w:t>
      </w:r>
      <w:r w:rsidR="00195DE3" w:rsidRPr="008075A4">
        <w:rPr>
          <w:rFonts w:ascii="Times New Roman" w:eastAsia="Times New Roman" w:hAnsi="Times New Roman" w:cs="Times New Roman"/>
        </w:rPr>
        <w:t xml:space="preserve">were deemed ineligible; institutions with more than 25% incarcerated students were deemed ineligible; institutions that offered more than 50% of their courses through distance methods were deemed ineligible; institutions that enrolled more than 50% of </w:t>
      </w:r>
      <w:r w:rsidR="00164904" w:rsidRPr="008075A4">
        <w:rPr>
          <w:rFonts w:ascii="Times New Roman" w:eastAsia="Times New Roman" w:hAnsi="Times New Roman" w:cs="Times New Roman"/>
        </w:rPr>
        <w:t>their</w:t>
      </w:r>
      <w:r w:rsidR="00195DE3" w:rsidRPr="008075A4">
        <w:rPr>
          <w:rFonts w:ascii="Times New Roman" w:eastAsia="Times New Roman" w:hAnsi="Times New Roman" w:cs="Times New Roman"/>
        </w:rPr>
        <w:t xml:space="preserve"> total student body in distance courses were deemed ineligible; and</w:t>
      </w:r>
      <w:r w:rsidR="00164904" w:rsidRPr="008075A4">
        <w:rPr>
          <w:rFonts w:ascii="Times New Roman" w:eastAsia="Times New Roman" w:hAnsi="Times New Roman" w:cs="Times New Roman"/>
        </w:rPr>
        <w:t>,</w:t>
      </w:r>
      <w:r w:rsidR="00195DE3" w:rsidRPr="008075A4">
        <w:rPr>
          <w:rFonts w:ascii="Times New Roman" w:eastAsia="Times New Roman" w:hAnsi="Times New Roman" w:cs="Times New Roman"/>
        </w:rPr>
        <w:t xml:space="preserve"> institutions </w:t>
      </w:r>
      <w:r w:rsidR="00164904" w:rsidRPr="008075A4">
        <w:rPr>
          <w:rFonts w:ascii="Times New Roman" w:eastAsia="Times New Roman" w:hAnsi="Times New Roman" w:cs="Times New Roman"/>
        </w:rPr>
        <w:t>in which</w:t>
      </w:r>
      <w:r w:rsidR="00195DE3" w:rsidRPr="008075A4">
        <w:rPr>
          <w:rFonts w:ascii="Times New Roman" w:eastAsia="Times New Roman" w:hAnsi="Times New Roman" w:cs="Times New Roman"/>
        </w:rPr>
        <w:t xml:space="preserve"> more than 50% of the student body did not have a secondary credential were deemed ineligible.</w:t>
      </w:r>
      <w:r w:rsidR="00E17DDD" w:rsidRPr="008075A4">
        <w:rPr>
          <w:rFonts w:ascii="Times New Roman" w:eastAsia="Times New Roman" w:hAnsi="Times New Roman" w:cs="Times New Roman"/>
        </w:rPr>
        <w:t xml:space="preserve"> Despite these regulations</w:t>
      </w:r>
      <w:r w:rsidR="00164904" w:rsidRPr="008075A4">
        <w:rPr>
          <w:rFonts w:ascii="Times New Roman" w:eastAsia="Times New Roman" w:hAnsi="Times New Roman" w:cs="Times New Roman"/>
        </w:rPr>
        <w:t>’</w:t>
      </w:r>
      <w:r w:rsidR="00E17DDD" w:rsidRPr="008075A4">
        <w:rPr>
          <w:rFonts w:ascii="Times New Roman" w:eastAsia="Times New Roman" w:hAnsi="Times New Roman" w:cs="Times New Roman"/>
        </w:rPr>
        <w:t xml:space="preserve"> presumed intent to guard against institutional misuse of taxpayer dollars, they in effect </w:t>
      </w:r>
      <w:r w:rsidR="00195DE3" w:rsidRPr="008075A4">
        <w:rPr>
          <w:rFonts w:ascii="Times New Roman" w:eastAsia="Times New Roman" w:hAnsi="Times New Roman" w:cs="Times New Roman"/>
        </w:rPr>
        <w:t xml:space="preserve">constrained </w:t>
      </w:r>
      <w:r w:rsidR="00E17DDD" w:rsidRPr="008075A4">
        <w:rPr>
          <w:rFonts w:ascii="Times New Roman" w:eastAsia="Times New Roman" w:hAnsi="Times New Roman" w:cs="Times New Roman"/>
        </w:rPr>
        <w:t xml:space="preserve">postsecondary </w:t>
      </w:r>
      <w:r w:rsidR="00195DE3" w:rsidRPr="008075A4">
        <w:rPr>
          <w:rFonts w:ascii="Times New Roman" w:eastAsia="Times New Roman" w:hAnsi="Times New Roman" w:cs="Times New Roman"/>
        </w:rPr>
        <w:t>access for the 1,053,738</w:t>
      </w:r>
      <w:r w:rsidR="00756355" w:rsidRPr="008075A4">
        <w:rPr>
          <w:rFonts w:ascii="Times New Roman" w:eastAsia="Times New Roman" w:hAnsi="Times New Roman" w:cs="Times New Roman"/>
        </w:rPr>
        <w:t xml:space="preserve"> </w:t>
      </w:r>
      <w:r w:rsidR="00195DE3" w:rsidRPr="008075A4">
        <w:rPr>
          <w:rFonts w:ascii="Times New Roman" w:eastAsia="Times New Roman" w:hAnsi="Times New Roman" w:cs="Times New Roman"/>
        </w:rPr>
        <w:t>persons in carceral custody</w:t>
      </w:r>
      <w:r w:rsidR="006811DB" w:rsidRPr="008075A4">
        <w:rPr>
          <w:rFonts w:ascii="Times New Roman" w:eastAsia="Times New Roman" w:hAnsi="Times New Roman" w:cs="Times New Roman"/>
        </w:rPr>
        <w:t xml:space="preserve"> </w:t>
      </w:r>
      <w:r w:rsidR="6147F65F" w:rsidRPr="008075A4">
        <w:rPr>
          <w:rFonts w:ascii="Times New Roman" w:eastAsia="Times New Roman" w:hAnsi="Times New Roman" w:cs="Times New Roman"/>
        </w:rPr>
        <w:t>at the time</w:t>
      </w:r>
      <w:r w:rsidR="00164904" w:rsidRPr="008075A4">
        <w:rPr>
          <w:rFonts w:ascii="Times New Roman" w:eastAsia="Times New Roman" w:hAnsi="Times New Roman" w:cs="Times New Roman"/>
        </w:rPr>
        <w:t xml:space="preserve"> </w:t>
      </w:r>
      <w:sdt>
        <w:sdtPr>
          <w:rPr>
            <w:rFonts w:ascii="Times New Roman" w:hAnsi="Times New Roman" w:cs="Times New Roman"/>
          </w:rPr>
          <w:id w:val="1122191260"/>
          <w:citation/>
        </w:sdtPr>
        <w:sdtEndPr/>
        <w:sdtContent>
          <w:r w:rsidR="00E17DDD" w:rsidRPr="008E04F3">
            <w:rPr>
              <w:rFonts w:ascii="Times New Roman" w:hAnsi="Times New Roman" w:cs="Times New Roman"/>
            </w:rPr>
            <w:fldChar w:fldCharType="begin"/>
          </w:r>
          <w:r w:rsidR="00E17DDD" w:rsidRPr="008075A4">
            <w:rPr>
              <w:rFonts w:ascii="Times New Roman" w:hAnsi="Times New Roman" w:cs="Times New Roman"/>
            </w:rPr>
            <w:instrText xml:space="preserve"> CITATION BJS1995 \l 1033 </w:instrText>
          </w:r>
          <w:r w:rsidR="00E17DDD" w:rsidRPr="008E04F3">
            <w:rPr>
              <w:rFonts w:ascii="Times New Roman" w:hAnsi="Times New Roman" w:cs="Times New Roman"/>
            </w:rPr>
            <w:fldChar w:fldCharType="separate"/>
          </w:r>
          <w:r w:rsidR="00E17DDD" w:rsidRPr="008075A4">
            <w:rPr>
              <w:rFonts w:ascii="Times New Roman" w:hAnsi="Times New Roman" w:cs="Times New Roman"/>
              <w:noProof/>
            </w:rPr>
            <w:t>(Beck and Gilliard 1995)</w:t>
          </w:r>
          <w:r w:rsidR="00E17DDD" w:rsidRPr="008E04F3">
            <w:rPr>
              <w:rFonts w:ascii="Times New Roman" w:hAnsi="Times New Roman" w:cs="Times New Roman"/>
            </w:rPr>
            <w:fldChar w:fldCharType="end"/>
          </w:r>
        </w:sdtContent>
      </w:sdt>
      <w:r w:rsidR="00164904" w:rsidRPr="002B4407">
        <w:rPr>
          <w:rFonts w:ascii="Times New Roman" w:hAnsi="Times New Roman" w:cs="Times New Roman"/>
        </w:rPr>
        <w:t>.</w:t>
      </w:r>
    </w:p>
    <w:p w14:paraId="7554960A" w14:textId="77777777" w:rsidR="00596DBC" w:rsidRPr="008075A4" w:rsidRDefault="00596DBC" w:rsidP="002B4407">
      <w:pPr>
        <w:ind w:firstLine="720"/>
        <w:contextualSpacing/>
        <w:rPr>
          <w:rFonts w:ascii="Times New Roman" w:eastAsia="Times New Roman" w:hAnsi="Times New Roman" w:cs="Times New Roman"/>
        </w:rPr>
      </w:pPr>
    </w:p>
    <w:p w14:paraId="687687AF" w14:textId="08DF0AEC" w:rsidR="0088194A" w:rsidRDefault="00E17DDD" w:rsidP="002B4407">
      <w:pPr>
        <w:ind w:firstLine="720"/>
        <w:contextualSpacing/>
        <w:rPr>
          <w:rFonts w:ascii="Times New Roman" w:eastAsia="Times New Roman" w:hAnsi="Times New Roman" w:cs="Times New Roman"/>
        </w:rPr>
      </w:pPr>
      <w:r w:rsidRPr="008075A4">
        <w:rPr>
          <w:rFonts w:ascii="Times New Roman" w:eastAsia="Times New Roman" w:hAnsi="Times New Roman" w:cs="Times New Roman"/>
        </w:rPr>
        <w:t xml:space="preserve">The 1994 ban further </w:t>
      </w:r>
      <w:r w:rsidR="006811DB" w:rsidRPr="008075A4">
        <w:rPr>
          <w:rFonts w:ascii="Times New Roman" w:eastAsia="Times New Roman" w:hAnsi="Times New Roman" w:cs="Times New Roman"/>
        </w:rPr>
        <w:t>i</w:t>
      </w:r>
      <w:r w:rsidR="00AE799F" w:rsidRPr="008075A4">
        <w:rPr>
          <w:rFonts w:ascii="Times New Roman" w:eastAsia="Times New Roman" w:hAnsi="Times New Roman" w:cs="Times New Roman"/>
        </w:rPr>
        <w:t>mpacted program</w:t>
      </w:r>
      <w:r w:rsidR="006811DB" w:rsidRPr="008075A4">
        <w:rPr>
          <w:rFonts w:ascii="Times New Roman" w:eastAsia="Times New Roman" w:hAnsi="Times New Roman" w:cs="Times New Roman"/>
        </w:rPr>
        <w:t xml:space="preserve"> </w:t>
      </w:r>
      <w:r w:rsidR="00AE799F" w:rsidRPr="008075A4">
        <w:rPr>
          <w:rFonts w:ascii="Times New Roman" w:eastAsia="Times New Roman" w:hAnsi="Times New Roman" w:cs="Times New Roman"/>
        </w:rPr>
        <w:t>completion</w:t>
      </w:r>
      <w:r w:rsidRPr="008075A4">
        <w:rPr>
          <w:rFonts w:ascii="Times New Roman" w:eastAsia="Times New Roman" w:hAnsi="Times New Roman" w:cs="Times New Roman"/>
        </w:rPr>
        <w:t xml:space="preserve"> rates</w:t>
      </w:r>
      <w:r w:rsidR="006811DB" w:rsidRPr="008075A4">
        <w:rPr>
          <w:rFonts w:ascii="Times New Roman" w:eastAsia="Times New Roman" w:hAnsi="Times New Roman" w:cs="Times New Roman"/>
        </w:rPr>
        <w:t xml:space="preserve"> </w:t>
      </w:r>
      <w:r w:rsidRPr="008075A4">
        <w:rPr>
          <w:rFonts w:ascii="Times New Roman" w:eastAsia="Times New Roman" w:hAnsi="Times New Roman" w:cs="Times New Roman"/>
        </w:rPr>
        <w:t>for</w:t>
      </w:r>
      <w:r w:rsidR="006811DB" w:rsidRPr="008075A4">
        <w:rPr>
          <w:rFonts w:ascii="Times New Roman" w:eastAsia="Times New Roman" w:hAnsi="Times New Roman" w:cs="Times New Roman"/>
        </w:rPr>
        <w:t xml:space="preserve"> the approximately </w:t>
      </w:r>
      <w:r w:rsidR="00F757B4" w:rsidRPr="008075A4">
        <w:rPr>
          <w:rFonts w:ascii="Times New Roman" w:eastAsia="Times New Roman" w:hAnsi="Times New Roman" w:cs="Times New Roman"/>
        </w:rPr>
        <w:t>27,000</w:t>
      </w:r>
      <w:r w:rsidR="006811DB" w:rsidRPr="008075A4">
        <w:rPr>
          <w:rFonts w:ascii="Times New Roman" w:eastAsia="Times New Roman" w:hAnsi="Times New Roman" w:cs="Times New Roman"/>
        </w:rPr>
        <w:t xml:space="preserve"> confined learners </w:t>
      </w:r>
      <w:r w:rsidR="00F757B4" w:rsidRPr="008075A4">
        <w:rPr>
          <w:rFonts w:ascii="Times New Roman" w:eastAsia="Times New Roman" w:hAnsi="Times New Roman" w:cs="Times New Roman"/>
        </w:rPr>
        <w:t>projected to access</w:t>
      </w:r>
      <w:r w:rsidR="00C50761" w:rsidRPr="008075A4">
        <w:rPr>
          <w:rFonts w:ascii="Times New Roman" w:eastAsia="Times New Roman" w:hAnsi="Times New Roman" w:cs="Times New Roman"/>
        </w:rPr>
        <w:t xml:space="preserve"> Pell g</w:t>
      </w:r>
      <w:r w:rsidR="006811DB" w:rsidRPr="008075A4">
        <w:rPr>
          <w:rFonts w:ascii="Times New Roman" w:eastAsia="Times New Roman" w:hAnsi="Times New Roman" w:cs="Times New Roman"/>
        </w:rPr>
        <w:t>rant funds fo</w:t>
      </w:r>
      <w:r w:rsidRPr="008075A4">
        <w:rPr>
          <w:rFonts w:ascii="Times New Roman" w:eastAsia="Times New Roman" w:hAnsi="Times New Roman" w:cs="Times New Roman"/>
        </w:rPr>
        <w:t xml:space="preserve">r postsecondary coursework </w:t>
      </w:r>
      <w:r w:rsidR="00364515" w:rsidRPr="008075A4">
        <w:rPr>
          <w:rFonts w:ascii="Times New Roman" w:eastAsia="Times New Roman" w:hAnsi="Times New Roman" w:cs="Times New Roman"/>
        </w:rPr>
        <w:t>in the 1994 academic year</w:t>
      </w:r>
      <w:r w:rsidR="00756355" w:rsidRPr="008075A4">
        <w:rPr>
          <w:rFonts w:ascii="Times New Roman" w:eastAsia="Times New Roman" w:hAnsi="Times New Roman" w:cs="Times New Roman"/>
        </w:rPr>
        <w:t xml:space="preserve"> </w:t>
      </w:r>
      <w:sdt>
        <w:sdtPr>
          <w:rPr>
            <w:rFonts w:ascii="Times New Roman" w:hAnsi="Times New Roman" w:cs="Times New Roman"/>
          </w:rPr>
          <w:id w:val="1585179844"/>
          <w:citation/>
        </w:sdtPr>
        <w:sdtEndPr/>
        <w:sdtContent>
          <w:r w:rsidR="00756355" w:rsidRPr="008E04F3">
            <w:rPr>
              <w:rFonts w:ascii="Times New Roman" w:hAnsi="Times New Roman" w:cs="Times New Roman"/>
            </w:rPr>
            <w:fldChar w:fldCharType="begin"/>
          </w:r>
          <w:r w:rsidR="00756355" w:rsidRPr="008075A4">
            <w:rPr>
              <w:rFonts w:ascii="Times New Roman" w:hAnsi="Times New Roman" w:cs="Times New Roman"/>
            </w:rPr>
            <w:instrText xml:space="preserve"> CITATION 1994 \l 1033 </w:instrText>
          </w:r>
          <w:r w:rsidR="00756355" w:rsidRPr="008E04F3">
            <w:rPr>
              <w:rFonts w:ascii="Times New Roman" w:hAnsi="Times New Roman" w:cs="Times New Roman"/>
            </w:rPr>
            <w:fldChar w:fldCharType="separate"/>
          </w:r>
          <w:r w:rsidR="0075233E" w:rsidRPr="008075A4">
            <w:rPr>
              <w:rFonts w:ascii="Times New Roman" w:hAnsi="Times New Roman" w:cs="Times New Roman"/>
              <w:noProof/>
            </w:rPr>
            <w:t>(Institute for Higher Education Policy 1994)</w:t>
          </w:r>
          <w:r w:rsidR="00756355" w:rsidRPr="008E04F3">
            <w:rPr>
              <w:rFonts w:ascii="Times New Roman" w:hAnsi="Times New Roman" w:cs="Times New Roman"/>
            </w:rPr>
            <w:fldChar w:fldCharType="end"/>
          </w:r>
        </w:sdtContent>
      </w:sdt>
      <w:r w:rsidR="006811DB" w:rsidRPr="008075A4">
        <w:rPr>
          <w:rFonts w:ascii="Times New Roman" w:eastAsia="Times New Roman" w:hAnsi="Times New Roman" w:cs="Times New Roman"/>
        </w:rPr>
        <w:t>.</w:t>
      </w:r>
      <w:r w:rsidR="00F757B4" w:rsidRPr="008075A4">
        <w:rPr>
          <w:rFonts w:ascii="Times New Roman" w:eastAsia="Times New Roman" w:hAnsi="Times New Roman" w:cs="Times New Roman"/>
        </w:rPr>
        <w:t xml:space="preserve"> </w:t>
      </w:r>
      <w:r w:rsidR="00B330E1" w:rsidRPr="008075A4">
        <w:rPr>
          <w:rFonts w:ascii="Times New Roman" w:eastAsia="Times New Roman" w:hAnsi="Times New Roman" w:cs="Times New Roman"/>
        </w:rPr>
        <w:t>A</w:t>
      </w:r>
      <w:r w:rsidR="00950E6C" w:rsidRPr="008075A4">
        <w:rPr>
          <w:rFonts w:ascii="Times New Roman" w:eastAsia="Times New Roman" w:hAnsi="Times New Roman" w:cs="Times New Roman"/>
        </w:rPr>
        <w:t xml:space="preserve">s a direct result of the ban, the number of available programs plummeted </w:t>
      </w:r>
      <w:r w:rsidR="00942893" w:rsidRPr="008075A4">
        <w:rPr>
          <w:rFonts w:ascii="Times New Roman" w:eastAsia="Times New Roman" w:hAnsi="Times New Roman" w:cs="Times New Roman"/>
        </w:rPr>
        <w:t xml:space="preserve">by 40% </w:t>
      </w:r>
      <w:r w:rsidR="00950E6C" w:rsidRPr="008075A4">
        <w:rPr>
          <w:rFonts w:ascii="Times New Roman" w:eastAsia="Times New Roman" w:hAnsi="Times New Roman" w:cs="Times New Roman"/>
        </w:rPr>
        <w:t>and enrollment in the remaining programs decreased by 44%</w:t>
      </w:r>
      <w:r w:rsidR="00C764B1" w:rsidRPr="008075A4">
        <w:rPr>
          <w:rFonts w:ascii="Times New Roman" w:eastAsia="Times New Roman" w:hAnsi="Times New Roman" w:cs="Times New Roman"/>
        </w:rPr>
        <w:t xml:space="preserve"> due to the prohibitive cost of higher education for an incarcerated student</w:t>
      </w:r>
      <w:r w:rsidR="00950E6C" w:rsidRPr="008075A4">
        <w:rPr>
          <w:rFonts w:ascii="Times New Roman" w:eastAsia="Times New Roman" w:hAnsi="Times New Roman" w:cs="Times New Roman"/>
        </w:rPr>
        <w:t xml:space="preserve"> </w:t>
      </w:r>
      <w:sdt>
        <w:sdtPr>
          <w:rPr>
            <w:rFonts w:ascii="Times New Roman" w:hAnsi="Times New Roman" w:cs="Times New Roman"/>
          </w:rPr>
          <w:id w:val="50040505"/>
          <w:citation/>
        </w:sdtPr>
        <w:sdtEndPr/>
        <w:sdtContent>
          <w:r w:rsidR="00950E6C" w:rsidRPr="008E04F3">
            <w:rPr>
              <w:rFonts w:ascii="Times New Roman" w:hAnsi="Times New Roman" w:cs="Times New Roman"/>
            </w:rPr>
            <w:fldChar w:fldCharType="begin"/>
          </w:r>
          <w:r w:rsidR="00950E6C" w:rsidRPr="008075A4">
            <w:rPr>
              <w:rFonts w:ascii="Times New Roman" w:hAnsi="Times New Roman" w:cs="Times New Roman"/>
            </w:rPr>
            <w:instrText xml:space="preserve"> CITATION Geh97 \l 1033 </w:instrText>
          </w:r>
          <w:r w:rsidR="00950E6C" w:rsidRPr="008E04F3">
            <w:rPr>
              <w:rFonts w:ascii="Times New Roman" w:hAnsi="Times New Roman" w:cs="Times New Roman"/>
            </w:rPr>
            <w:fldChar w:fldCharType="separate"/>
          </w:r>
          <w:r w:rsidR="00950E6C" w:rsidRPr="008075A4">
            <w:rPr>
              <w:rFonts w:ascii="Times New Roman" w:hAnsi="Times New Roman" w:cs="Times New Roman"/>
              <w:noProof/>
            </w:rPr>
            <w:t>(Gehring 1997)</w:t>
          </w:r>
          <w:r w:rsidR="00950E6C" w:rsidRPr="008E04F3">
            <w:rPr>
              <w:rFonts w:ascii="Times New Roman" w:hAnsi="Times New Roman" w:cs="Times New Roman"/>
            </w:rPr>
            <w:fldChar w:fldCharType="end"/>
          </w:r>
        </w:sdtContent>
      </w:sdt>
      <w:r w:rsidR="00950E6C" w:rsidRPr="008075A4">
        <w:rPr>
          <w:rFonts w:ascii="Times New Roman" w:eastAsia="Times New Roman" w:hAnsi="Times New Roman" w:cs="Times New Roman"/>
        </w:rPr>
        <w:t>.</w:t>
      </w:r>
    </w:p>
    <w:p w14:paraId="490CE58F" w14:textId="77777777" w:rsidR="00596DBC" w:rsidRPr="008075A4" w:rsidRDefault="00596DBC" w:rsidP="002B4407">
      <w:pPr>
        <w:ind w:firstLine="720"/>
        <w:contextualSpacing/>
        <w:rPr>
          <w:rFonts w:ascii="Times New Roman" w:eastAsia="Times New Roman" w:hAnsi="Times New Roman" w:cs="Times New Roman"/>
        </w:rPr>
      </w:pPr>
    </w:p>
    <w:p w14:paraId="472FF390" w14:textId="44BDAE36" w:rsidR="00E744D9" w:rsidRDefault="00167926" w:rsidP="002B4407">
      <w:pPr>
        <w:ind w:firstLine="720"/>
        <w:contextualSpacing/>
        <w:rPr>
          <w:rFonts w:ascii="Times New Roman" w:eastAsia="Times New Roman" w:hAnsi="Times New Roman" w:cs="Times New Roman"/>
        </w:rPr>
      </w:pPr>
      <w:r w:rsidRPr="008075A4">
        <w:rPr>
          <w:rFonts w:ascii="Times New Roman" w:eastAsia="Times New Roman" w:hAnsi="Times New Roman" w:cs="Times New Roman"/>
        </w:rPr>
        <w:t>The V</w:t>
      </w:r>
      <w:r w:rsidR="00BF30EE" w:rsidRPr="008075A4">
        <w:rPr>
          <w:rFonts w:ascii="Times New Roman" w:eastAsia="Times New Roman" w:hAnsi="Times New Roman" w:cs="Times New Roman"/>
        </w:rPr>
        <w:t>CA</w:t>
      </w:r>
      <w:r w:rsidRPr="008075A4">
        <w:rPr>
          <w:rFonts w:ascii="Times New Roman" w:eastAsia="Times New Roman" w:hAnsi="Times New Roman" w:cs="Times New Roman"/>
        </w:rPr>
        <w:t xml:space="preserve"> not only implemented the Pell ban </w:t>
      </w:r>
      <w:r w:rsidR="00262388" w:rsidRPr="008075A4">
        <w:rPr>
          <w:rFonts w:ascii="Times New Roman" w:eastAsia="Times New Roman" w:hAnsi="Times New Roman" w:cs="Times New Roman"/>
        </w:rPr>
        <w:t xml:space="preserve">and </w:t>
      </w:r>
      <w:r w:rsidR="00FC319D" w:rsidRPr="008075A4">
        <w:rPr>
          <w:rFonts w:ascii="Times New Roman" w:eastAsia="Times New Roman" w:hAnsi="Times New Roman" w:cs="Times New Roman"/>
        </w:rPr>
        <w:t>decreased</w:t>
      </w:r>
      <w:r w:rsidR="00262388" w:rsidRPr="008075A4">
        <w:rPr>
          <w:rFonts w:ascii="Times New Roman" w:eastAsia="Times New Roman" w:hAnsi="Times New Roman" w:cs="Times New Roman"/>
        </w:rPr>
        <w:t xml:space="preserve"> the provision of higher education programs in prison</w:t>
      </w:r>
      <w:r w:rsidR="00E17DDD" w:rsidRPr="008075A4">
        <w:rPr>
          <w:rFonts w:ascii="Times New Roman" w:eastAsia="Times New Roman" w:hAnsi="Times New Roman" w:cs="Times New Roman"/>
        </w:rPr>
        <w:t>,</w:t>
      </w:r>
      <w:r w:rsidR="00262388" w:rsidRPr="008075A4">
        <w:rPr>
          <w:rFonts w:ascii="Times New Roman" w:eastAsia="Times New Roman" w:hAnsi="Times New Roman" w:cs="Times New Roman"/>
        </w:rPr>
        <w:t xml:space="preserve"> </w:t>
      </w:r>
      <w:r w:rsidRPr="008075A4">
        <w:rPr>
          <w:rFonts w:ascii="Times New Roman" w:eastAsia="Times New Roman" w:hAnsi="Times New Roman" w:cs="Times New Roman"/>
        </w:rPr>
        <w:t>but</w:t>
      </w:r>
      <w:r w:rsidR="00262388" w:rsidRPr="008075A4">
        <w:rPr>
          <w:rFonts w:ascii="Times New Roman" w:eastAsia="Times New Roman" w:hAnsi="Times New Roman" w:cs="Times New Roman"/>
        </w:rPr>
        <w:t xml:space="preserve"> also had </w:t>
      </w:r>
      <w:r w:rsidR="00B4680A" w:rsidRPr="008075A4">
        <w:rPr>
          <w:rFonts w:ascii="Times New Roman" w:eastAsia="Times New Roman" w:hAnsi="Times New Roman" w:cs="Times New Roman"/>
        </w:rPr>
        <w:t>a disproportionately profound</w:t>
      </w:r>
      <w:r w:rsidR="00BF30EE" w:rsidRPr="008075A4">
        <w:rPr>
          <w:rFonts w:ascii="Times New Roman" w:eastAsia="Times New Roman" w:hAnsi="Times New Roman" w:cs="Times New Roman"/>
        </w:rPr>
        <w:t xml:space="preserve"> social impact on poor communities </w:t>
      </w:r>
      <w:r w:rsidR="00B4680A" w:rsidRPr="008075A4">
        <w:rPr>
          <w:rFonts w:ascii="Times New Roman" w:eastAsia="Times New Roman" w:hAnsi="Times New Roman" w:cs="Times New Roman"/>
        </w:rPr>
        <w:t xml:space="preserve">and </w:t>
      </w:r>
      <w:r w:rsidRPr="008075A4">
        <w:rPr>
          <w:rFonts w:ascii="Times New Roman" w:eastAsia="Times New Roman" w:hAnsi="Times New Roman" w:cs="Times New Roman"/>
        </w:rPr>
        <w:t>communities of color.</w:t>
      </w:r>
      <w:r w:rsidR="00016C86" w:rsidRPr="008075A4">
        <w:rPr>
          <w:rFonts w:ascii="Times New Roman" w:eastAsia="Times New Roman" w:hAnsi="Times New Roman" w:cs="Times New Roman"/>
        </w:rPr>
        <w:t xml:space="preserve"> As the country’s largest crime bill in history,</w:t>
      </w:r>
      <w:r w:rsidRPr="008075A4">
        <w:rPr>
          <w:rFonts w:ascii="Times New Roman" w:eastAsia="Times New Roman" w:hAnsi="Times New Roman" w:cs="Times New Roman"/>
        </w:rPr>
        <w:t xml:space="preserve"> </w:t>
      </w:r>
      <w:r w:rsidR="00016C86" w:rsidRPr="008075A4">
        <w:rPr>
          <w:rFonts w:ascii="Times New Roman" w:eastAsia="Times New Roman" w:hAnsi="Times New Roman" w:cs="Times New Roman"/>
        </w:rPr>
        <w:t xml:space="preserve">it significantly increased policing and invested heavily in prisons, alongside funds for prevention programs. </w:t>
      </w:r>
      <w:r w:rsidR="00E1432A" w:rsidRPr="008075A4">
        <w:rPr>
          <w:rFonts w:ascii="Times New Roman" w:eastAsia="Times New Roman" w:hAnsi="Times New Roman" w:cs="Times New Roman"/>
        </w:rPr>
        <w:t>Justice policies enabled by this legislation, such as community policing (more commonly referred to as ‘stop</w:t>
      </w:r>
      <w:r w:rsidR="00C50761" w:rsidRPr="008075A4">
        <w:rPr>
          <w:rFonts w:ascii="Times New Roman" w:eastAsia="Times New Roman" w:hAnsi="Times New Roman" w:cs="Times New Roman"/>
        </w:rPr>
        <w:t>-</w:t>
      </w:r>
      <w:r w:rsidR="00E1432A" w:rsidRPr="008075A4">
        <w:rPr>
          <w:rFonts w:ascii="Times New Roman" w:eastAsia="Times New Roman" w:hAnsi="Times New Roman" w:cs="Times New Roman"/>
        </w:rPr>
        <w:t>and</w:t>
      </w:r>
      <w:r w:rsidR="00C50761" w:rsidRPr="008075A4">
        <w:rPr>
          <w:rFonts w:ascii="Times New Roman" w:eastAsia="Times New Roman" w:hAnsi="Times New Roman" w:cs="Times New Roman"/>
        </w:rPr>
        <w:t>-</w:t>
      </w:r>
      <w:r w:rsidR="00E1432A" w:rsidRPr="008075A4">
        <w:rPr>
          <w:rFonts w:ascii="Times New Roman" w:eastAsia="Times New Roman" w:hAnsi="Times New Roman" w:cs="Times New Roman"/>
        </w:rPr>
        <w:t xml:space="preserve">frisk’), arrests, and sentencing (mandatory minimums and truth-in-sentencing) disproportionately impacted communities of color, leading to </w:t>
      </w:r>
      <w:r w:rsidR="00AF709D" w:rsidRPr="008075A4">
        <w:rPr>
          <w:rFonts w:ascii="Times New Roman" w:eastAsia="Times New Roman" w:hAnsi="Times New Roman" w:cs="Times New Roman"/>
        </w:rPr>
        <w:t>a</w:t>
      </w:r>
      <w:r w:rsidR="00E1432A" w:rsidRPr="008075A4">
        <w:rPr>
          <w:rFonts w:ascii="Times New Roman" w:eastAsia="Times New Roman" w:hAnsi="Times New Roman" w:cs="Times New Roman"/>
        </w:rPr>
        <w:t xml:space="preserve"> substantial increase in</w:t>
      </w:r>
      <w:r w:rsidR="00F357D4" w:rsidRPr="008075A4">
        <w:rPr>
          <w:rFonts w:ascii="Times New Roman" w:eastAsia="Times New Roman" w:hAnsi="Times New Roman" w:cs="Times New Roman"/>
        </w:rPr>
        <w:t xml:space="preserve"> people of color in</w:t>
      </w:r>
      <w:r w:rsidR="00E1432A" w:rsidRPr="008075A4">
        <w:rPr>
          <w:rFonts w:ascii="Times New Roman" w:eastAsia="Times New Roman" w:hAnsi="Times New Roman" w:cs="Times New Roman"/>
        </w:rPr>
        <w:t>carcerated in</w:t>
      </w:r>
      <w:r w:rsidR="00F357D4" w:rsidRPr="008075A4">
        <w:rPr>
          <w:rFonts w:ascii="Times New Roman" w:eastAsia="Times New Roman" w:hAnsi="Times New Roman" w:cs="Times New Roman"/>
        </w:rPr>
        <w:t xml:space="preserve"> correctional facilities.</w:t>
      </w:r>
      <w:r w:rsidRPr="008075A4">
        <w:rPr>
          <w:rFonts w:ascii="Times New Roman" w:eastAsia="Times New Roman" w:hAnsi="Times New Roman" w:cs="Times New Roman"/>
        </w:rPr>
        <w:t xml:space="preserve"> </w:t>
      </w:r>
      <w:r w:rsidR="00321C61" w:rsidRPr="008075A4">
        <w:rPr>
          <w:rFonts w:ascii="Times New Roman" w:eastAsia="Times New Roman" w:hAnsi="Times New Roman" w:cs="Times New Roman"/>
        </w:rPr>
        <w:t xml:space="preserve">In addition, </w:t>
      </w:r>
      <w:r w:rsidR="00337F19" w:rsidRPr="008075A4">
        <w:rPr>
          <w:rFonts w:ascii="Times New Roman" w:eastAsia="Times New Roman" w:hAnsi="Times New Roman" w:cs="Times New Roman"/>
        </w:rPr>
        <w:t>the mid-1990s saw the creation of</w:t>
      </w:r>
      <w:r w:rsidRPr="008075A4">
        <w:rPr>
          <w:rFonts w:ascii="Times New Roman" w:eastAsia="Times New Roman" w:hAnsi="Times New Roman" w:cs="Times New Roman"/>
        </w:rPr>
        <w:t xml:space="preserve"> a generation of “school-to-prison pipeline” policies that brought </w:t>
      </w:r>
      <w:r w:rsidR="00337F19" w:rsidRPr="008075A4">
        <w:rPr>
          <w:rFonts w:ascii="Times New Roman" w:eastAsia="Times New Roman" w:hAnsi="Times New Roman" w:cs="Times New Roman"/>
        </w:rPr>
        <w:t xml:space="preserve">poor communities and </w:t>
      </w:r>
      <w:r w:rsidRPr="008075A4">
        <w:rPr>
          <w:rFonts w:ascii="Times New Roman" w:eastAsia="Times New Roman" w:hAnsi="Times New Roman" w:cs="Times New Roman"/>
        </w:rPr>
        <w:t xml:space="preserve">communities of color into earlier and more frequent </w:t>
      </w:r>
      <w:r w:rsidR="001F60FD" w:rsidRPr="008075A4">
        <w:rPr>
          <w:rFonts w:ascii="Times New Roman" w:eastAsia="Times New Roman" w:hAnsi="Times New Roman" w:cs="Times New Roman"/>
        </w:rPr>
        <w:t>contact</w:t>
      </w:r>
      <w:r w:rsidRPr="008075A4">
        <w:rPr>
          <w:rFonts w:ascii="Times New Roman" w:eastAsia="Times New Roman" w:hAnsi="Times New Roman" w:cs="Times New Roman"/>
        </w:rPr>
        <w:t xml:space="preserve"> with law enforcement</w:t>
      </w:r>
      <w:r w:rsidR="00D07D21" w:rsidRPr="008075A4">
        <w:rPr>
          <w:rFonts w:ascii="Times New Roman" w:eastAsia="Times New Roman" w:hAnsi="Times New Roman" w:cs="Times New Roman"/>
        </w:rPr>
        <w:t xml:space="preserve"> and various iterations of confinement</w:t>
      </w:r>
      <w:r w:rsidR="009D5047">
        <w:rPr>
          <w:rFonts w:ascii="Times New Roman" w:eastAsia="Times New Roman" w:hAnsi="Times New Roman" w:cs="Times New Roman"/>
        </w:rPr>
        <w:t xml:space="preserve"> and supervision.</w:t>
      </w:r>
      <w:r w:rsidR="00112AD3" w:rsidRPr="008075A4">
        <w:rPr>
          <w:rFonts w:ascii="Times New Roman" w:eastAsia="Times New Roman" w:hAnsi="Times New Roman" w:cs="Times New Roman"/>
        </w:rPr>
        <w:t xml:space="preserve"> </w:t>
      </w:r>
    </w:p>
    <w:p w14:paraId="0ECF7665" w14:textId="77777777" w:rsidR="00596DBC" w:rsidRDefault="00596DBC" w:rsidP="002B4407">
      <w:pPr>
        <w:ind w:firstLine="720"/>
        <w:contextualSpacing/>
        <w:rPr>
          <w:rFonts w:ascii="Times New Roman" w:eastAsia="Times New Roman" w:hAnsi="Times New Roman" w:cs="Times New Roman"/>
        </w:rPr>
      </w:pPr>
    </w:p>
    <w:p w14:paraId="0818AADC" w14:textId="2D51CA02" w:rsidR="006F77E8" w:rsidRDefault="006F77E8" w:rsidP="002B4407">
      <w:pPr>
        <w:ind w:firstLine="720"/>
        <w:rPr>
          <w:rFonts w:ascii="Times New Roman" w:eastAsia="Times New Roman" w:hAnsi="Times New Roman" w:cs="Times New Roman"/>
        </w:rPr>
      </w:pPr>
      <w:r w:rsidRPr="008075A4">
        <w:rPr>
          <w:rFonts w:ascii="Times New Roman" w:eastAsia="Times New Roman" w:hAnsi="Times New Roman" w:cs="Times New Roman"/>
        </w:rPr>
        <w:t>Additionally, and closely related to the “school-to-prison-pipeline,” is the fact that educational attainment of the criminal justice involved (CJI) population is much lower than the average United States household. As school policies in lower resourced communities continued to suspend, expel, and arrest young adults before completing high school, the custody population demonstrated less educational attainment. According to the United States Department of Justice, 41% of federal and state inmates do not possess a secondary – high school – credential in comparison to 18% of the general population. Data from the Program for the International Assessment of Adult Competencies (PIAAC) Survey of Incarcerated Adults (2012-2014) affirm these equity gaps and indicate that incarcerated persons consistently demonstrate lower educational attainment than the overall United States household; incarcerated individuals represent a larger portion of those with less than a high school diploma, yet a smaller portion of those with any postsecondary credential (PIAAC 2014). These data underscore that the nation’s incarcerated population more closely resembles the population that the Pell grant was originally designed to help</w:t>
      </w:r>
      <w:r>
        <w:rPr>
          <w:rFonts w:ascii="Times New Roman" w:eastAsia="Times New Roman" w:hAnsi="Times New Roman" w:cs="Times New Roman"/>
        </w:rPr>
        <w:t>,</w:t>
      </w:r>
      <w:r w:rsidRPr="008075A4">
        <w:rPr>
          <w:rFonts w:ascii="Times New Roman" w:eastAsia="Times New Roman" w:hAnsi="Times New Roman" w:cs="Times New Roman"/>
        </w:rPr>
        <w:t xml:space="preserve"> those from underserved communities who were systematically denied </w:t>
      </w:r>
      <w:r w:rsidRPr="008075A4">
        <w:rPr>
          <w:rFonts w:ascii="Times New Roman" w:eastAsia="Times New Roman" w:hAnsi="Times New Roman" w:cs="Times New Roman"/>
        </w:rPr>
        <w:lastRenderedPageBreak/>
        <w:t xml:space="preserve">educational access. Restricting Pell access, and ultimately severely constraining an incarcerated person’s access to postsecondary education, exacerbates the inequities that have emerged as byproducts of a criminal justice system predicated upon the institutionalization of racism. </w:t>
      </w:r>
    </w:p>
    <w:p w14:paraId="47FDB331" w14:textId="77777777" w:rsidR="00596DBC" w:rsidRPr="008075A4" w:rsidRDefault="00596DBC" w:rsidP="002B4407">
      <w:pPr>
        <w:ind w:firstLine="720"/>
        <w:rPr>
          <w:rFonts w:ascii="Times New Roman" w:eastAsia="Times New Roman" w:hAnsi="Times New Roman" w:cs="Times New Roman"/>
        </w:rPr>
      </w:pPr>
    </w:p>
    <w:p w14:paraId="12011CD5" w14:textId="3BD13458" w:rsidR="009F6665" w:rsidRDefault="00112AD3" w:rsidP="002B4407">
      <w:pPr>
        <w:ind w:firstLine="720"/>
        <w:rPr>
          <w:rFonts w:ascii="Times New Roman" w:eastAsia="Times New Roman" w:hAnsi="Times New Roman" w:cs="Times New Roman"/>
        </w:rPr>
      </w:pPr>
      <w:r w:rsidRPr="008075A4">
        <w:rPr>
          <w:rFonts w:ascii="Times New Roman" w:eastAsia="Times New Roman" w:hAnsi="Times New Roman" w:cs="Times New Roman"/>
        </w:rPr>
        <w:t>The intersection of these criminal justice trends</w:t>
      </w:r>
      <w:r w:rsidR="00555E2F" w:rsidRPr="008075A4">
        <w:rPr>
          <w:rFonts w:ascii="Times New Roman" w:eastAsia="Times New Roman" w:hAnsi="Times New Roman" w:cs="Times New Roman"/>
        </w:rPr>
        <w:t xml:space="preserve">, which also sat at the intersection of social identity indicators like race, gender, and class, </w:t>
      </w:r>
      <w:r w:rsidR="001F60FD" w:rsidRPr="008075A4">
        <w:rPr>
          <w:rFonts w:ascii="Times New Roman" w:eastAsia="Times New Roman" w:hAnsi="Times New Roman" w:cs="Times New Roman"/>
        </w:rPr>
        <w:t>created an epidemic of mass incarceration</w:t>
      </w:r>
      <w:r w:rsidR="00FC319D" w:rsidRPr="008075A4">
        <w:rPr>
          <w:rFonts w:ascii="Times New Roman" w:eastAsia="Times New Roman" w:hAnsi="Times New Roman" w:cs="Times New Roman"/>
        </w:rPr>
        <w:t xml:space="preserve"> and gave rise to a carceral state</w:t>
      </w:r>
      <w:r w:rsidR="001F60FD" w:rsidRPr="008075A4">
        <w:rPr>
          <w:rFonts w:ascii="Times New Roman" w:eastAsia="Times New Roman" w:hAnsi="Times New Roman" w:cs="Times New Roman"/>
        </w:rPr>
        <w:t xml:space="preserve"> that currently sees </w:t>
      </w:r>
      <w:r w:rsidR="0040140E" w:rsidRPr="008075A4">
        <w:rPr>
          <w:rFonts w:ascii="Times New Roman" w:eastAsia="Times New Roman" w:hAnsi="Times New Roman" w:cs="Times New Roman"/>
        </w:rPr>
        <w:t xml:space="preserve">people </w:t>
      </w:r>
      <w:r w:rsidR="001F60FD" w:rsidRPr="008075A4">
        <w:rPr>
          <w:rFonts w:ascii="Times New Roman" w:eastAsia="Times New Roman" w:hAnsi="Times New Roman" w:cs="Times New Roman"/>
        </w:rPr>
        <w:t xml:space="preserve">of color imprisoned at rates that are on average </w:t>
      </w:r>
      <w:r w:rsidR="0040140E" w:rsidRPr="008075A4">
        <w:rPr>
          <w:rFonts w:ascii="Times New Roman" w:eastAsia="Times New Roman" w:hAnsi="Times New Roman" w:cs="Times New Roman"/>
        </w:rPr>
        <w:t>4</w:t>
      </w:r>
      <w:r w:rsidR="001F60FD" w:rsidRPr="008075A4">
        <w:rPr>
          <w:rFonts w:ascii="Times New Roman" w:eastAsia="Times New Roman" w:hAnsi="Times New Roman" w:cs="Times New Roman"/>
        </w:rPr>
        <w:t xml:space="preserve"> times higher than their </w:t>
      </w:r>
      <w:r w:rsidR="1A01F514" w:rsidRPr="008075A4">
        <w:rPr>
          <w:rFonts w:ascii="Times New Roman" w:eastAsia="Times New Roman" w:hAnsi="Times New Roman" w:cs="Times New Roman"/>
        </w:rPr>
        <w:t xml:space="preserve">White </w:t>
      </w:r>
      <w:r w:rsidR="001F60FD" w:rsidRPr="008075A4">
        <w:rPr>
          <w:rFonts w:ascii="Times New Roman" w:eastAsia="Times New Roman" w:hAnsi="Times New Roman" w:cs="Times New Roman"/>
        </w:rPr>
        <w:t xml:space="preserve">counterparts </w:t>
      </w:r>
      <w:r w:rsidR="1D252D56" w:rsidRPr="008075A4">
        <w:rPr>
          <w:rFonts w:ascii="Times New Roman" w:eastAsia="Times New Roman" w:hAnsi="Times New Roman" w:cs="Times New Roman"/>
        </w:rPr>
        <w:t xml:space="preserve">(Alexander 2012; </w:t>
      </w:r>
      <w:r w:rsidR="6147F65F" w:rsidRPr="008075A4">
        <w:rPr>
          <w:rFonts w:ascii="Times New Roman" w:eastAsia="Times New Roman" w:hAnsi="Times New Roman" w:cs="Times New Roman"/>
        </w:rPr>
        <w:t xml:space="preserve">Clear 2007; </w:t>
      </w:r>
      <w:r w:rsidR="1D252D56" w:rsidRPr="008075A4">
        <w:rPr>
          <w:rFonts w:ascii="Times New Roman" w:eastAsia="Times New Roman" w:hAnsi="Times New Roman" w:cs="Times New Roman"/>
        </w:rPr>
        <w:t>Gottschalk 2015; Western 2006).</w:t>
      </w:r>
      <w:r w:rsidR="00754516" w:rsidRPr="008075A4">
        <w:rPr>
          <w:rFonts w:ascii="Times New Roman" w:eastAsia="Times New Roman" w:hAnsi="Times New Roman" w:cs="Times New Roman"/>
        </w:rPr>
        <w:t xml:space="preserve"> </w:t>
      </w:r>
      <w:r w:rsidR="00E744D9" w:rsidRPr="008075A4">
        <w:rPr>
          <w:rFonts w:ascii="Times New Roman" w:eastAsia="Times New Roman" w:hAnsi="Times New Roman" w:cs="Times New Roman"/>
        </w:rPr>
        <w:t>The</w:t>
      </w:r>
      <w:r w:rsidR="001420DF" w:rsidRPr="008075A4">
        <w:rPr>
          <w:rFonts w:ascii="Times New Roman" w:eastAsia="Times New Roman" w:hAnsi="Times New Roman" w:cs="Times New Roman"/>
        </w:rPr>
        <w:t xml:space="preserve"> </w:t>
      </w:r>
      <w:r w:rsidR="006915C4" w:rsidRPr="008075A4">
        <w:rPr>
          <w:rFonts w:ascii="Times New Roman" w:eastAsia="Times New Roman" w:hAnsi="Times New Roman" w:cs="Times New Roman"/>
        </w:rPr>
        <w:t>Bureau of Justice Statistics (2015</w:t>
      </w:r>
      <w:r w:rsidR="00E9630E" w:rsidRPr="008075A4">
        <w:rPr>
          <w:rFonts w:ascii="Times New Roman" w:eastAsia="Times New Roman" w:hAnsi="Times New Roman" w:cs="Times New Roman"/>
        </w:rPr>
        <w:t>)</w:t>
      </w:r>
      <w:r w:rsidR="00E744D9" w:rsidRPr="008075A4">
        <w:rPr>
          <w:rFonts w:ascii="Times New Roman" w:eastAsia="Times New Roman" w:hAnsi="Times New Roman" w:cs="Times New Roman"/>
        </w:rPr>
        <w:t xml:space="preserve"> estimates that the racial composition of the incarcerated population is </w:t>
      </w:r>
      <w:r w:rsidR="00E9630E" w:rsidRPr="008075A4">
        <w:rPr>
          <w:rFonts w:ascii="Times New Roman" w:eastAsia="Times New Roman" w:hAnsi="Times New Roman" w:cs="Times New Roman"/>
        </w:rPr>
        <w:t>37.8</w:t>
      </w:r>
      <w:r w:rsidR="00E744D9" w:rsidRPr="008075A4">
        <w:rPr>
          <w:rFonts w:ascii="Times New Roman" w:eastAsia="Times New Roman" w:hAnsi="Times New Roman" w:cs="Times New Roman"/>
        </w:rPr>
        <w:t xml:space="preserve">% </w:t>
      </w:r>
      <w:r w:rsidR="00E5441B" w:rsidRPr="008075A4">
        <w:rPr>
          <w:rFonts w:ascii="Times New Roman" w:eastAsia="Times New Roman" w:hAnsi="Times New Roman" w:cs="Times New Roman"/>
        </w:rPr>
        <w:t>B</w:t>
      </w:r>
      <w:r w:rsidR="00E744D9" w:rsidRPr="008075A4">
        <w:rPr>
          <w:rFonts w:ascii="Times New Roman" w:eastAsia="Times New Roman" w:hAnsi="Times New Roman" w:cs="Times New Roman"/>
        </w:rPr>
        <w:t xml:space="preserve">lack, </w:t>
      </w:r>
      <w:r w:rsidR="00E9630E" w:rsidRPr="008075A4">
        <w:rPr>
          <w:rFonts w:ascii="Times New Roman" w:eastAsia="Times New Roman" w:hAnsi="Times New Roman" w:cs="Times New Roman"/>
        </w:rPr>
        <w:t>21</w:t>
      </w:r>
      <w:r w:rsidR="00E744D9" w:rsidRPr="008075A4">
        <w:rPr>
          <w:rFonts w:ascii="Times New Roman" w:eastAsia="Times New Roman" w:hAnsi="Times New Roman" w:cs="Times New Roman"/>
        </w:rPr>
        <w:t>% Hispanic</w:t>
      </w:r>
      <w:r w:rsidR="1A01F514" w:rsidRPr="008075A4">
        <w:rPr>
          <w:rFonts w:ascii="Times New Roman" w:eastAsia="Times New Roman" w:hAnsi="Times New Roman" w:cs="Times New Roman"/>
        </w:rPr>
        <w:t xml:space="preserve">, and 39% </w:t>
      </w:r>
      <w:r w:rsidR="0042134B" w:rsidRPr="008075A4">
        <w:rPr>
          <w:rFonts w:ascii="Times New Roman" w:hAnsi="Times New Roman" w:cs="Times New Roman"/>
        </w:rPr>
        <w:t>White; this is in contrast to the reality that</w:t>
      </w:r>
      <w:r w:rsidR="00E744D9" w:rsidRPr="008075A4">
        <w:rPr>
          <w:rFonts w:ascii="Times New Roman" w:eastAsia="Times New Roman" w:hAnsi="Times New Roman" w:cs="Times New Roman"/>
        </w:rPr>
        <w:t xml:space="preserve"> </w:t>
      </w:r>
      <w:r w:rsidR="00155514" w:rsidRPr="008075A4">
        <w:rPr>
          <w:rFonts w:ascii="Times New Roman" w:eastAsia="Times New Roman" w:hAnsi="Times New Roman" w:cs="Times New Roman"/>
        </w:rPr>
        <w:t>B</w:t>
      </w:r>
      <w:r w:rsidR="00E744D9" w:rsidRPr="008075A4">
        <w:rPr>
          <w:rFonts w:ascii="Times New Roman" w:eastAsia="Times New Roman" w:hAnsi="Times New Roman" w:cs="Times New Roman"/>
        </w:rPr>
        <w:t>lacks only comprise 13% of the country’s overall population, those of Hispanic origin comprise 16%, and</w:t>
      </w:r>
      <w:r w:rsidR="1A01F514" w:rsidRPr="008075A4">
        <w:rPr>
          <w:rFonts w:ascii="Times New Roman" w:eastAsia="Times New Roman" w:hAnsi="Times New Roman" w:cs="Times New Roman"/>
        </w:rPr>
        <w:t xml:space="preserve"> </w:t>
      </w:r>
      <w:r w:rsidR="00E744D9" w:rsidRPr="008075A4">
        <w:rPr>
          <w:rFonts w:ascii="Times New Roman" w:eastAsia="Times New Roman" w:hAnsi="Times New Roman" w:cs="Times New Roman"/>
        </w:rPr>
        <w:t>Whites a</w:t>
      </w:r>
      <w:r w:rsidR="00DA5E61" w:rsidRPr="008075A4">
        <w:rPr>
          <w:rFonts w:ascii="Times New Roman" w:eastAsia="Times New Roman" w:hAnsi="Times New Roman" w:cs="Times New Roman"/>
        </w:rPr>
        <w:t>re</w:t>
      </w:r>
      <w:r w:rsidR="00E744D9" w:rsidRPr="008075A4">
        <w:rPr>
          <w:rFonts w:ascii="Times New Roman" w:eastAsia="Times New Roman" w:hAnsi="Times New Roman" w:cs="Times New Roman"/>
        </w:rPr>
        <w:t xml:space="preserve"> 64%</w:t>
      </w:r>
      <w:r w:rsidR="006915C4" w:rsidRPr="008075A4">
        <w:rPr>
          <w:rFonts w:ascii="Times New Roman" w:eastAsia="Times New Roman" w:hAnsi="Times New Roman" w:cs="Times New Roman"/>
        </w:rPr>
        <w:t xml:space="preserve"> </w:t>
      </w:r>
      <w:sdt>
        <w:sdtPr>
          <w:rPr>
            <w:rFonts w:ascii="Times New Roman" w:hAnsi="Times New Roman" w:cs="Times New Roman"/>
          </w:rPr>
          <w:id w:val="725569688"/>
          <w:citation/>
        </w:sdtPr>
        <w:sdtEndPr/>
        <w:sdtContent>
          <w:r w:rsidR="00E744D9" w:rsidRPr="008E04F3">
            <w:rPr>
              <w:rFonts w:ascii="Times New Roman" w:hAnsi="Times New Roman" w:cs="Times New Roman"/>
            </w:rPr>
            <w:fldChar w:fldCharType="begin"/>
          </w:r>
          <w:r w:rsidR="00E744D9" w:rsidRPr="008075A4">
            <w:rPr>
              <w:rFonts w:ascii="Times New Roman" w:hAnsi="Times New Roman" w:cs="Times New Roman"/>
            </w:rPr>
            <w:instrText xml:space="preserve"> CITATION PrisonPolicy \l 1033 </w:instrText>
          </w:r>
          <w:r w:rsidR="00E744D9" w:rsidRPr="008E04F3">
            <w:rPr>
              <w:rFonts w:ascii="Times New Roman" w:hAnsi="Times New Roman" w:cs="Times New Roman"/>
            </w:rPr>
            <w:fldChar w:fldCharType="separate"/>
          </w:r>
          <w:r w:rsidR="00E744D9" w:rsidRPr="008075A4">
            <w:rPr>
              <w:rFonts w:ascii="Times New Roman" w:hAnsi="Times New Roman" w:cs="Times New Roman"/>
              <w:noProof/>
            </w:rPr>
            <w:t>(Sakala 2014)</w:t>
          </w:r>
          <w:r w:rsidR="00E744D9" w:rsidRPr="008E04F3">
            <w:rPr>
              <w:rFonts w:ascii="Times New Roman" w:hAnsi="Times New Roman" w:cs="Times New Roman"/>
            </w:rPr>
            <w:fldChar w:fldCharType="end"/>
          </w:r>
        </w:sdtContent>
      </w:sdt>
      <w:r w:rsidR="0042134B" w:rsidRPr="008075A4">
        <w:rPr>
          <w:rFonts w:ascii="Times New Roman" w:hAnsi="Times New Roman" w:cs="Times New Roman"/>
        </w:rPr>
        <w:t xml:space="preserve">. </w:t>
      </w:r>
      <w:r w:rsidR="00E744D9" w:rsidRPr="008075A4">
        <w:rPr>
          <w:rFonts w:ascii="Times New Roman" w:eastAsia="Times New Roman" w:hAnsi="Times New Roman" w:cs="Times New Roman"/>
        </w:rPr>
        <w:t>Incarcerated individuals also report</w:t>
      </w:r>
      <w:r w:rsidR="00DA5E61" w:rsidRPr="008075A4">
        <w:rPr>
          <w:rFonts w:ascii="Times New Roman" w:eastAsia="Times New Roman" w:hAnsi="Times New Roman" w:cs="Times New Roman"/>
        </w:rPr>
        <w:t xml:space="preserve"> </w:t>
      </w:r>
      <w:r w:rsidR="006F77E8">
        <w:rPr>
          <w:rFonts w:ascii="Times New Roman" w:eastAsia="Times New Roman" w:hAnsi="Times New Roman" w:cs="Times New Roman"/>
        </w:rPr>
        <w:t xml:space="preserve">pre-incarceration </w:t>
      </w:r>
      <w:r w:rsidR="00E744D9" w:rsidRPr="008075A4">
        <w:rPr>
          <w:rFonts w:ascii="Times New Roman" w:eastAsia="Times New Roman" w:hAnsi="Times New Roman" w:cs="Times New Roman"/>
        </w:rPr>
        <w:t xml:space="preserve">income levels far lower than the average household </w:t>
      </w:r>
      <w:sdt>
        <w:sdtPr>
          <w:rPr>
            <w:rFonts w:ascii="Times New Roman" w:hAnsi="Times New Roman" w:cs="Times New Roman"/>
          </w:rPr>
          <w:id w:val="-1910220758"/>
          <w:citation/>
        </w:sdtPr>
        <w:sdtEndPr/>
        <w:sdtContent>
          <w:r w:rsidR="00E744D9" w:rsidRPr="008E04F3">
            <w:rPr>
              <w:rFonts w:ascii="Times New Roman" w:hAnsi="Times New Roman" w:cs="Times New Roman"/>
            </w:rPr>
            <w:fldChar w:fldCharType="begin"/>
          </w:r>
          <w:r w:rsidR="00E744D9" w:rsidRPr="008075A4">
            <w:rPr>
              <w:rFonts w:ascii="Times New Roman" w:hAnsi="Times New Roman" w:cs="Times New Roman"/>
            </w:rPr>
            <w:instrText xml:space="preserve"> CITATION Rab15 \l 1033 </w:instrText>
          </w:r>
          <w:r w:rsidR="00E744D9" w:rsidRPr="008E04F3">
            <w:rPr>
              <w:rFonts w:ascii="Times New Roman" w:hAnsi="Times New Roman" w:cs="Times New Roman"/>
            </w:rPr>
            <w:fldChar w:fldCharType="separate"/>
          </w:r>
          <w:r w:rsidR="00E744D9" w:rsidRPr="008075A4">
            <w:rPr>
              <w:rFonts w:ascii="Times New Roman" w:hAnsi="Times New Roman" w:cs="Times New Roman"/>
              <w:noProof/>
            </w:rPr>
            <w:t>(Rabuy and Kopf 2015)</w:t>
          </w:r>
          <w:r w:rsidR="00E744D9" w:rsidRPr="008E04F3">
            <w:rPr>
              <w:rFonts w:ascii="Times New Roman" w:hAnsi="Times New Roman" w:cs="Times New Roman"/>
            </w:rPr>
            <w:fldChar w:fldCharType="end"/>
          </w:r>
        </w:sdtContent>
      </w:sdt>
      <w:r w:rsidR="00DA5E61" w:rsidRPr="008075A4">
        <w:rPr>
          <w:rFonts w:ascii="Times New Roman" w:hAnsi="Times New Roman" w:cs="Times New Roman"/>
        </w:rPr>
        <w:t>.</w:t>
      </w:r>
      <w:r w:rsidR="00B71EC5" w:rsidRPr="008075A4">
        <w:rPr>
          <w:rFonts w:ascii="Times New Roman" w:eastAsia="Times New Roman" w:hAnsi="Times New Roman" w:cs="Times New Roman"/>
        </w:rPr>
        <w:t xml:space="preserve"> Given these data, a troubling trend becomes clear</w:t>
      </w:r>
      <w:r w:rsidR="00E15A60" w:rsidRPr="008075A4">
        <w:rPr>
          <w:rFonts w:ascii="Times New Roman" w:eastAsia="Times New Roman" w:hAnsi="Times New Roman" w:cs="Times New Roman"/>
        </w:rPr>
        <w:t>:</w:t>
      </w:r>
      <w:r w:rsidR="00B71EC5" w:rsidRPr="008075A4">
        <w:rPr>
          <w:rFonts w:ascii="Times New Roman" w:eastAsia="Times New Roman" w:hAnsi="Times New Roman" w:cs="Times New Roman"/>
        </w:rPr>
        <w:t xml:space="preserve"> more people were becoming incarcerated at the same time that access to educational opportunities systematically </w:t>
      </w:r>
      <w:r w:rsidR="00E744D9" w:rsidRPr="008075A4">
        <w:rPr>
          <w:rFonts w:ascii="Times New Roman" w:eastAsia="Times New Roman" w:hAnsi="Times New Roman" w:cs="Times New Roman"/>
        </w:rPr>
        <w:t>decreased for incarcerated learners</w:t>
      </w:r>
      <w:r w:rsidR="00E15A60" w:rsidRPr="008075A4">
        <w:rPr>
          <w:rFonts w:ascii="Times New Roman" w:eastAsia="Times New Roman" w:hAnsi="Times New Roman" w:cs="Times New Roman"/>
        </w:rPr>
        <w:t>,</w:t>
      </w:r>
      <w:r w:rsidR="00E744D9" w:rsidRPr="008075A4">
        <w:rPr>
          <w:rFonts w:ascii="Times New Roman" w:eastAsia="Times New Roman" w:hAnsi="Times New Roman" w:cs="Times New Roman"/>
        </w:rPr>
        <w:t xml:space="preserve"> and people of color were disproportionately excluded from postsecondary access because of their </w:t>
      </w:r>
      <w:r w:rsidR="00BD23FE" w:rsidRPr="008075A4">
        <w:rPr>
          <w:rFonts w:ascii="Times New Roman" w:eastAsia="Times New Roman" w:hAnsi="Times New Roman" w:cs="Times New Roman"/>
        </w:rPr>
        <w:t>incommensurate</w:t>
      </w:r>
      <w:r w:rsidR="00E744D9" w:rsidRPr="008075A4">
        <w:rPr>
          <w:rFonts w:ascii="Times New Roman" w:eastAsia="Times New Roman" w:hAnsi="Times New Roman" w:cs="Times New Roman"/>
        </w:rPr>
        <w:t xml:space="preserve"> </w:t>
      </w:r>
      <w:r w:rsidR="00B71EC5" w:rsidRPr="008075A4">
        <w:rPr>
          <w:rFonts w:ascii="Times New Roman" w:eastAsia="Times New Roman" w:hAnsi="Times New Roman" w:cs="Times New Roman"/>
        </w:rPr>
        <w:t>involvement with the criminal justice system</w:t>
      </w:r>
      <w:r w:rsidR="496E05CF" w:rsidRPr="008075A4">
        <w:rPr>
          <w:rFonts w:ascii="Times New Roman" w:eastAsia="Times New Roman" w:hAnsi="Times New Roman" w:cs="Times New Roman"/>
        </w:rPr>
        <w:t xml:space="preserve">.  </w:t>
      </w:r>
    </w:p>
    <w:p w14:paraId="6AD048F9" w14:textId="77777777" w:rsidR="00596DBC" w:rsidRPr="008075A4" w:rsidRDefault="00596DBC" w:rsidP="002B4407">
      <w:pPr>
        <w:ind w:firstLine="720"/>
        <w:rPr>
          <w:rFonts w:ascii="Times New Roman" w:eastAsia="Times New Roman" w:hAnsi="Times New Roman" w:cs="Times New Roman"/>
        </w:rPr>
      </w:pPr>
    </w:p>
    <w:p w14:paraId="48931DA9" w14:textId="5C868B84" w:rsidR="00A712F0" w:rsidRDefault="008819BF" w:rsidP="002B4407">
      <w:pPr>
        <w:ind w:firstLine="720"/>
        <w:rPr>
          <w:rFonts w:ascii="Times New Roman" w:eastAsia="Times New Roman" w:hAnsi="Times New Roman" w:cs="Times New Roman"/>
        </w:rPr>
      </w:pPr>
      <w:r w:rsidRPr="008075A4">
        <w:rPr>
          <w:rFonts w:ascii="Times New Roman" w:eastAsia="Times New Roman" w:hAnsi="Times New Roman" w:cs="Times New Roman"/>
        </w:rPr>
        <w:t xml:space="preserve">None of this information, however, is novel. </w:t>
      </w:r>
      <w:r w:rsidR="00C91E89" w:rsidRPr="008075A4">
        <w:rPr>
          <w:rFonts w:ascii="Times New Roman" w:eastAsia="Times New Roman" w:hAnsi="Times New Roman" w:cs="Times New Roman"/>
        </w:rPr>
        <w:t>Th</w:t>
      </w:r>
      <w:r w:rsidR="7277FA7C" w:rsidRPr="008075A4">
        <w:rPr>
          <w:rFonts w:ascii="Times New Roman" w:eastAsia="Times New Roman" w:hAnsi="Times New Roman" w:cs="Times New Roman"/>
        </w:rPr>
        <w:t>e fact th</w:t>
      </w:r>
      <w:r w:rsidR="00C91E89" w:rsidRPr="008075A4">
        <w:rPr>
          <w:rFonts w:ascii="Times New Roman" w:eastAsia="Times New Roman" w:hAnsi="Times New Roman" w:cs="Times New Roman"/>
        </w:rPr>
        <w:t>at</w:t>
      </w:r>
      <w:r w:rsidRPr="008075A4">
        <w:rPr>
          <w:rFonts w:ascii="Times New Roman" w:eastAsia="Times New Roman" w:hAnsi="Times New Roman" w:cs="Times New Roman"/>
        </w:rPr>
        <w:t xml:space="preserve"> access, matriculation, and attainment gaps exist along </w:t>
      </w:r>
      <w:r w:rsidR="002C5640" w:rsidRPr="008075A4">
        <w:rPr>
          <w:rFonts w:ascii="Times New Roman" w:eastAsia="Times New Roman" w:hAnsi="Times New Roman" w:cs="Times New Roman"/>
        </w:rPr>
        <w:t xml:space="preserve">certain </w:t>
      </w:r>
      <w:r w:rsidRPr="008075A4">
        <w:rPr>
          <w:rFonts w:ascii="Times New Roman" w:eastAsia="Times New Roman" w:hAnsi="Times New Roman" w:cs="Times New Roman"/>
        </w:rPr>
        <w:t xml:space="preserve">demographic axes </w:t>
      </w:r>
      <w:sdt>
        <w:sdtPr>
          <w:rPr>
            <w:rFonts w:ascii="Times New Roman" w:hAnsi="Times New Roman" w:cs="Times New Roman"/>
          </w:rPr>
          <w:id w:val="-1577661924"/>
          <w:citation/>
        </w:sdtPr>
        <w:sdtEndPr/>
        <w:sdtContent>
          <w:r w:rsidRPr="008E04F3">
            <w:rPr>
              <w:rFonts w:ascii="Times New Roman" w:hAnsi="Times New Roman" w:cs="Times New Roman"/>
            </w:rPr>
            <w:fldChar w:fldCharType="begin"/>
          </w:r>
          <w:r w:rsidRPr="008075A4">
            <w:rPr>
              <w:rFonts w:ascii="Times New Roman" w:hAnsi="Times New Roman" w:cs="Times New Roman"/>
            </w:rPr>
            <w:instrText xml:space="preserve"> CITATION Penn \l 1033 </w:instrText>
          </w:r>
          <w:r w:rsidRPr="008E04F3">
            <w:rPr>
              <w:rFonts w:ascii="Times New Roman" w:hAnsi="Times New Roman" w:cs="Times New Roman"/>
            </w:rPr>
            <w:fldChar w:fldCharType="separate"/>
          </w:r>
          <w:r w:rsidR="0075233E" w:rsidRPr="008075A4">
            <w:rPr>
              <w:rFonts w:ascii="Times New Roman" w:hAnsi="Times New Roman" w:cs="Times New Roman"/>
              <w:noProof/>
            </w:rPr>
            <w:t>(Cahalan, et al. 2018)</w:t>
          </w:r>
          <w:r w:rsidRPr="008E04F3">
            <w:rPr>
              <w:rFonts w:ascii="Times New Roman" w:hAnsi="Times New Roman" w:cs="Times New Roman"/>
            </w:rPr>
            <w:fldChar w:fldCharType="end"/>
          </w:r>
        </w:sdtContent>
      </w:sdt>
      <w:r w:rsidRPr="008075A4">
        <w:rPr>
          <w:rFonts w:ascii="Times New Roman" w:eastAsia="Times New Roman" w:hAnsi="Times New Roman" w:cs="Times New Roman"/>
        </w:rPr>
        <w:t xml:space="preserve"> is a byproduct of the </w:t>
      </w:r>
      <w:r w:rsidR="7277FA7C" w:rsidRPr="008075A4">
        <w:rPr>
          <w:rFonts w:ascii="Times New Roman" w:eastAsia="Times New Roman" w:hAnsi="Times New Roman" w:cs="Times New Roman"/>
        </w:rPr>
        <w:t xml:space="preserve">reality </w:t>
      </w:r>
      <w:r w:rsidRPr="008075A4">
        <w:rPr>
          <w:rFonts w:ascii="Times New Roman" w:eastAsia="Times New Roman" w:hAnsi="Times New Roman" w:cs="Times New Roman"/>
        </w:rPr>
        <w:t xml:space="preserve">that higher education was never designed to </w:t>
      </w:r>
      <w:r w:rsidR="001010BF" w:rsidRPr="008075A4">
        <w:rPr>
          <w:rFonts w:ascii="Times New Roman" w:eastAsia="Times New Roman" w:hAnsi="Times New Roman" w:cs="Times New Roman"/>
        </w:rPr>
        <w:t xml:space="preserve">comprehensively </w:t>
      </w:r>
      <w:r w:rsidRPr="008075A4">
        <w:rPr>
          <w:rFonts w:ascii="Times New Roman" w:eastAsia="Times New Roman" w:hAnsi="Times New Roman" w:cs="Times New Roman"/>
        </w:rPr>
        <w:t>include and address the needs</w:t>
      </w:r>
      <w:r w:rsidR="002C5640" w:rsidRPr="008075A4">
        <w:rPr>
          <w:rFonts w:ascii="Times New Roman" w:eastAsia="Times New Roman" w:hAnsi="Times New Roman" w:cs="Times New Roman"/>
        </w:rPr>
        <w:t xml:space="preserve"> of</w:t>
      </w:r>
      <w:r w:rsidRPr="008075A4">
        <w:rPr>
          <w:rFonts w:ascii="Times New Roman" w:eastAsia="Times New Roman" w:hAnsi="Times New Roman" w:cs="Times New Roman"/>
        </w:rPr>
        <w:t xml:space="preserve"> </w:t>
      </w:r>
      <w:r w:rsidR="00D9778A" w:rsidRPr="008075A4">
        <w:rPr>
          <w:rFonts w:ascii="Times New Roman" w:eastAsia="Times New Roman" w:hAnsi="Times New Roman" w:cs="Times New Roman"/>
        </w:rPr>
        <w:t>students of color. Sincere equity-minded considerations of postsecondary attainment gaps in this country require institutions to interrogate</w:t>
      </w:r>
      <w:r w:rsidR="00DB3540" w:rsidRPr="008075A4">
        <w:rPr>
          <w:rFonts w:ascii="Times New Roman" w:eastAsia="Times New Roman" w:hAnsi="Times New Roman" w:cs="Times New Roman"/>
        </w:rPr>
        <w:t>: (1)</w:t>
      </w:r>
      <w:r w:rsidR="00D9778A" w:rsidRPr="008075A4">
        <w:rPr>
          <w:rFonts w:ascii="Times New Roman" w:eastAsia="Times New Roman" w:hAnsi="Times New Roman" w:cs="Times New Roman"/>
        </w:rPr>
        <w:t xml:space="preserve"> why communities of color </w:t>
      </w:r>
      <w:r w:rsidR="00652AE8" w:rsidRPr="008075A4">
        <w:rPr>
          <w:rFonts w:ascii="Times New Roman" w:eastAsia="Times New Roman" w:hAnsi="Times New Roman" w:cs="Times New Roman"/>
        </w:rPr>
        <w:t xml:space="preserve">report </w:t>
      </w:r>
      <w:r w:rsidR="00D9778A" w:rsidRPr="008075A4">
        <w:rPr>
          <w:rFonts w:ascii="Times New Roman" w:eastAsia="Times New Roman" w:hAnsi="Times New Roman" w:cs="Times New Roman"/>
        </w:rPr>
        <w:t>disproportionately low postsecondary attainment</w:t>
      </w:r>
      <w:r w:rsidR="00652AE8" w:rsidRPr="008075A4">
        <w:rPr>
          <w:rFonts w:ascii="Times New Roman" w:eastAsia="Times New Roman" w:hAnsi="Times New Roman" w:cs="Times New Roman"/>
        </w:rPr>
        <w:t xml:space="preserve"> rate</w:t>
      </w:r>
      <w:r w:rsidR="00DB3540" w:rsidRPr="008075A4">
        <w:rPr>
          <w:rFonts w:ascii="Times New Roman" w:eastAsia="Times New Roman" w:hAnsi="Times New Roman" w:cs="Times New Roman"/>
        </w:rPr>
        <w:t xml:space="preserve">s; and, (2) the challenges </w:t>
      </w:r>
      <w:r w:rsidR="005C63DF" w:rsidRPr="008075A4">
        <w:rPr>
          <w:rFonts w:ascii="Times New Roman" w:eastAsia="Times New Roman" w:hAnsi="Times New Roman" w:cs="Times New Roman"/>
        </w:rPr>
        <w:t xml:space="preserve">presented by systemic interactions </w:t>
      </w:r>
      <w:r w:rsidR="006F77E8">
        <w:rPr>
          <w:rFonts w:ascii="Times New Roman" w:eastAsia="Times New Roman" w:hAnsi="Times New Roman" w:cs="Times New Roman"/>
        </w:rPr>
        <w:t>with</w:t>
      </w:r>
      <w:r w:rsidR="006F77E8" w:rsidRPr="008075A4">
        <w:rPr>
          <w:rFonts w:ascii="Times New Roman" w:eastAsia="Times New Roman" w:hAnsi="Times New Roman" w:cs="Times New Roman"/>
        </w:rPr>
        <w:t xml:space="preserve"> </w:t>
      </w:r>
      <w:r w:rsidR="005C63DF" w:rsidRPr="008075A4">
        <w:rPr>
          <w:rFonts w:ascii="Times New Roman" w:eastAsia="Times New Roman" w:hAnsi="Times New Roman" w:cs="Times New Roman"/>
        </w:rPr>
        <w:t xml:space="preserve">discrimination </w:t>
      </w:r>
      <w:r w:rsidR="006F77E8">
        <w:rPr>
          <w:rFonts w:ascii="Times New Roman" w:eastAsia="Times New Roman" w:hAnsi="Times New Roman" w:cs="Times New Roman"/>
        </w:rPr>
        <w:t>that</w:t>
      </w:r>
      <w:r w:rsidR="006F77E8" w:rsidRPr="008075A4">
        <w:rPr>
          <w:rFonts w:ascii="Times New Roman" w:eastAsia="Times New Roman" w:hAnsi="Times New Roman" w:cs="Times New Roman"/>
        </w:rPr>
        <w:t xml:space="preserve"> </w:t>
      </w:r>
      <w:r w:rsidR="005C63DF" w:rsidRPr="008075A4">
        <w:rPr>
          <w:rFonts w:ascii="Times New Roman" w:eastAsia="Times New Roman" w:hAnsi="Times New Roman" w:cs="Times New Roman"/>
        </w:rPr>
        <w:t>impact access and success</w:t>
      </w:r>
      <w:r w:rsidR="00E20718" w:rsidRPr="008075A4">
        <w:rPr>
          <w:rFonts w:ascii="Times New Roman" w:eastAsia="Times New Roman" w:hAnsi="Times New Roman" w:cs="Times New Roman"/>
        </w:rPr>
        <w:t xml:space="preserve"> for communities of color</w:t>
      </w:r>
      <w:r w:rsidR="005C63DF" w:rsidRPr="008075A4">
        <w:rPr>
          <w:rFonts w:ascii="Times New Roman" w:eastAsia="Times New Roman" w:hAnsi="Times New Roman" w:cs="Times New Roman"/>
        </w:rPr>
        <w:t xml:space="preserve">. </w:t>
      </w:r>
      <w:r w:rsidR="0015403A" w:rsidRPr="008075A4">
        <w:rPr>
          <w:rFonts w:ascii="Times New Roman" w:eastAsia="Times New Roman" w:hAnsi="Times New Roman" w:cs="Times New Roman"/>
        </w:rPr>
        <w:t>This conceptualization of equity encourages institutions to challenge their norms around campus-based instruction</w:t>
      </w:r>
      <w:r w:rsidR="00652AE8" w:rsidRPr="008075A4">
        <w:rPr>
          <w:rFonts w:ascii="Times New Roman" w:eastAsia="Times New Roman" w:hAnsi="Times New Roman" w:cs="Times New Roman"/>
        </w:rPr>
        <w:t xml:space="preserve"> and student body composition</w:t>
      </w:r>
      <w:r w:rsidR="003500E8" w:rsidRPr="008075A4">
        <w:rPr>
          <w:rFonts w:ascii="Times New Roman" w:eastAsia="Times New Roman" w:hAnsi="Times New Roman" w:cs="Times New Roman"/>
        </w:rPr>
        <w:t xml:space="preserve">, as well as </w:t>
      </w:r>
      <w:r w:rsidR="0015403A" w:rsidRPr="008075A4">
        <w:rPr>
          <w:rFonts w:ascii="Times New Roman" w:eastAsia="Times New Roman" w:hAnsi="Times New Roman" w:cs="Times New Roman"/>
        </w:rPr>
        <w:t>consider what it would mean to offer postsecondary opportunities in correctional facilities</w:t>
      </w:r>
      <w:r w:rsidR="00652AE8" w:rsidRPr="008075A4">
        <w:rPr>
          <w:rFonts w:ascii="Times New Roman" w:eastAsia="Times New Roman" w:hAnsi="Times New Roman" w:cs="Times New Roman"/>
        </w:rPr>
        <w:t xml:space="preserve"> and include incarcerated students on their rosters.</w:t>
      </w:r>
    </w:p>
    <w:p w14:paraId="538C610E" w14:textId="77777777" w:rsidR="00596DBC" w:rsidRPr="008075A4" w:rsidRDefault="00596DBC" w:rsidP="002B4407">
      <w:pPr>
        <w:ind w:firstLine="720"/>
        <w:rPr>
          <w:rFonts w:ascii="Times New Roman" w:eastAsia="Times New Roman" w:hAnsi="Times New Roman" w:cs="Times New Roman"/>
        </w:rPr>
      </w:pPr>
    </w:p>
    <w:p w14:paraId="6AECE0B0" w14:textId="4BEC129D" w:rsidR="00D3520C" w:rsidRPr="008075A4" w:rsidRDefault="00700459" w:rsidP="002B4407">
      <w:pPr>
        <w:ind w:firstLine="720"/>
        <w:rPr>
          <w:rFonts w:ascii="Times New Roman" w:eastAsia="Times New Roman" w:hAnsi="Times New Roman" w:cs="Times New Roman"/>
        </w:rPr>
      </w:pPr>
      <w:r w:rsidRPr="008075A4">
        <w:rPr>
          <w:rFonts w:ascii="Times New Roman" w:eastAsia="Times New Roman" w:hAnsi="Times New Roman" w:cs="Times New Roman"/>
        </w:rPr>
        <w:t>In addition to racial</w:t>
      </w:r>
      <w:r w:rsidR="003500E8" w:rsidRPr="008075A4">
        <w:rPr>
          <w:rFonts w:ascii="Times New Roman" w:eastAsia="Times New Roman" w:hAnsi="Times New Roman" w:cs="Times New Roman"/>
        </w:rPr>
        <w:t xml:space="preserve">, </w:t>
      </w:r>
      <w:r w:rsidRPr="008075A4">
        <w:rPr>
          <w:rFonts w:ascii="Times New Roman" w:eastAsia="Times New Roman" w:hAnsi="Times New Roman" w:cs="Times New Roman"/>
        </w:rPr>
        <w:t>ethnic</w:t>
      </w:r>
      <w:r w:rsidR="003500E8" w:rsidRPr="008075A4">
        <w:rPr>
          <w:rFonts w:ascii="Times New Roman" w:eastAsia="Times New Roman" w:hAnsi="Times New Roman" w:cs="Times New Roman"/>
        </w:rPr>
        <w:t>,</w:t>
      </w:r>
      <w:r w:rsidRPr="008075A4">
        <w:rPr>
          <w:rFonts w:ascii="Times New Roman" w:eastAsia="Times New Roman" w:hAnsi="Times New Roman" w:cs="Times New Roman"/>
        </w:rPr>
        <w:t xml:space="preserve"> and income demographics</w:t>
      </w:r>
      <w:r w:rsidR="002577DE" w:rsidRPr="008075A4">
        <w:rPr>
          <w:rFonts w:ascii="Times New Roman" w:eastAsia="Times New Roman" w:hAnsi="Times New Roman" w:cs="Times New Roman"/>
        </w:rPr>
        <w:t xml:space="preserve">, we </w:t>
      </w:r>
      <w:r w:rsidRPr="008075A4">
        <w:rPr>
          <w:rFonts w:ascii="Times New Roman" w:eastAsia="Times New Roman" w:hAnsi="Times New Roman" w:cs="Times New Roman"/>
        </w:rPr>
        <w:t xml:space="preserve">must also </w:t>
      </w:r>
      <w:r w:rsidR="002577DE" w:rsidRPr="008075A4">
        <w:rPr>
          <w:rFonts w:ascii="Times New Roman" w:eastAsia="Times New Roman" w:hAnsi="Times New Roman" w:cs="Times New Roman"/>
        </w:rPr>
        <w:t xml:space="preserve">consider whether and to what extent women have access to postsecondary opportunities, </w:t>
      </w:r>
      <w:r w:rsidRPr="008075A4">
        <w:rPr>
          <w:rFonts w:ascii="Times New Roman" w:eastAsia="Times New Roman" w:hAnsi="Times New Roman" w:cs="Times New Roman"/>
        </w:rPr>
        <w:t>particularly given the</w:t>
      </w:r>
      <w:r w:rsidR="00FE21E1" w:rsidRPr="008075A4">
        <w:rPr>
          <w:rFonts w:ascii="Times New Roman" w:eastAsia="Times New Roman" w:hAnsi="Times New Roman" w:cs="Times New Roman"/>
        </w:rPr>
        <w:t xml:space="preserve"> gender breakdown </w:t>
      </w:r>
      <w:r w:rsidRPr="008075A4">
        <w:rPr>
          <w:rFonts w:ascii="Times New Roman" w:eastAsia="Times New Roman" w:hAnsi="Times New Roman" w:cs="Times New Roman"/>
        </w:rPr>
        <w:t xml:space="preserve">within </w:t>
      </w:r>
      <w:r w:rsidR="00200594" w:rsidRPr="008075A4">
        <w:rPr>
          <w:rFonts w:ascii="Times New Roman" w:eastAsia="Times New Roman" w:hAnsi="Times New Roman" w:cs="Times New Roman"/>
        </w:rPr>
        <w:t>correctional facilities.</w:t>
      </w:r>
      <w:r w:rsidR="00B212FE" w:rsidRPr="008075A4">
        <w:rPr>
          <w:rFonts w:ascii="Times New Roman" w:eastAsia="Times New Roman" w:hAnsi="Times New Roman" w:cs="Times New Roman"/>
        </w:rPr>
        <w:t xml:space="preserve"> </w:t>
      </w:r>
      <w:r w:rsidRPr="008075A4">
        <w:rPr>
          <w:rFonts w:ascii="Times New Roman" w:eastAsia="Times New Roman" w:hAnsi="Times New Roman" w:cs="Times New Roman"/>
        </w:rPr>
        <w:t xml:space="preserve">While it is true that </w:t>
      </w:r>
      <w:r w:rsidR="00313D4E" w:rsidRPr="008075A4">
        <w:rPr>
          <w:rFonts w:ascii="Times New Roman" w:eastAsia="Times New Roman" w:hAnsi="Times New Roman" w:cs="Times New Roman"/>
        </w:rPr>
        <w:t>the incarcerat</w:t>
      </w:r>
      <w:r w:rsidR="00200594" w:rsidRPr="008075A4">
        <w:rPr>
          <w:rFonts w:ascii="Times New Roman" w:eastAsia="Times New Roman" w:hAnsi="Times New Roman" w:cs="Times New Roman"/>
        </w:rPr>
        <w:t>ion</w:t>
      </w:r>
      <w:r w:rsidR="00313D4E" w:rsidRPr="008075A4">
        <w:rPr>
          <w:rFonts w:ascii="Times New Roman" w:eastAsia="Times New Roman" w:hAnsi="Times New Roman" w:cs="Times New Roman"/>
        </w:rPr>
        <w:t xml:space="preserve"> rate for </w:t>
      </w:r>
      <w:r w:rsidR="00B212FE" w:rsidRPr="008075A4">
        <w:rPr>
          <w:rFonts w:ascii="Times New Roman" w:eastAsia="Times New Roman" w:hAnsi="Times New Roman" w:cs="Times New Roman"/>
        </w:rPr>
        <w:t xml:space="preserve">women </w:t>
      </w:r>
      <w:r w:rsidR="00313D4E" w:rsidRPr="008075A4">
        <w:rPr>
          <w:rFonts w:ascii="Times New Roman" w:eastAsia="Times New Roman" w:hAnsi="Times New Roman" w:cs="Times New Roman"/>
        </w:rPr>
        <w:t xml:space="preserve">has increased </w:t>
      </w:r>
      <w:r w:rsidR="007127A1" w:rsidRPr="008075A4">
        <w:rPr>
          <w:rFonts w:ascii="Times New Roman" w:eastAsia="Times New Roman" w:hAnsi="Times New Roman" w:cs="Times New Roman"/>
        </w:rPr>
        <w:t>7</w:t>
      </w:r>
      <w:r w:rsidR="00884600" w:rsidRPr="008075A4">
        <w:rPr>
          <w:rFonts w:ascii="Times New Roman" w:eastAsia="Times New Roman" w:hAnsi="Times New Roman" w:cs="Times New Roman"/>
        </w:rPr>
        <w:t>00% in the past t</w:t>
      </w:r>
      <w:r w:rsidR="007127A1" w:rsidRPr="008075A4">
        <w:rPr>
          <w:rFonts w:ascii="Times New Roman" w:eastAsia="Times New Roman" w:hAnsi="Times New Roman" w:cs="Times New Roman"/>
        </w:rPr>
        <w:t>hree</w:t>
      </w:r>
      <w:r w:rsidR="00884600" w:rsidRPr="008075A4">
        <w:rPr>
          <w:rFonts w:ascii="Times New Roman" w:eastAsia="Times New Roman" w:hAnsi="Times New Roman" w:cs="Times New Roman"/>
        </w:rPr>
        <w:t xml:space="preserve"> decades (</w:t>
      </w:r>
      <w:r w:rsidR="007127A1" w:rsidRPr="008075A4">
        <w:rPr>
          <w:rFonts w:ascii="Times New Roman" w:eastAsia="Times New Roman" w:hAnsi="Times New Roman" w:cs="Times New Roman"/>
        </w:rPr>
        <w:t>The Sentencing Project 2014</w:t>
      </w:r>
      <w:r w:rsidR="00884600" w:rsidRPr="008075A4">
        <w:rPr>
          <w:rFonts w:ascii="Times New Roman" w:eastAsia="Times New Roman" w:hAnsi="Times New Roman" w:cs="Times New Roman"/>
        </w:rPr>
        <w:t xml:space="preserve">), women, overall, </w:t>
      </w:r>
      <w:r w:rsidR="00B212FE" w:rsidRPr="008075A4">
        <w:rPr>
          <w:rFonts w:ascii="Times New Roman" w:eastAsia="Times New Roman" w:hAnsi="Times New Roman" w:cs="Times New Roman"/>
        </w:rPr>
        <w:t>comprise less than 10</w:t>
      </w:r>
      <w:r w:rsidR="00FF0215" w:rsidRPr="008075A4">
        <w:rPr>
          <w:rFonts w:ascii="Times New Roman" w:eastAsia="Times New Roman" w:hAnsi="Times New Roman" w:cs="Times New Roman"/>
        </w:rPr>
        <w:t>% of the incarcerated population. What, then, does equitable</w:t>
      </w:r>
      <w:r w:rsidR="00884600" w:rsidRPr="008075A4">
        <w:rPr>
          <w:rFonts w:ascii="Times New Roman" w:eastAsia="Times New Roman" w:hAnsi="Times New Roman" w:cs="Times New Roman"/>
        </w:rPr>
        <w:t xml:space="preserve"> postsecondary access and</w:t>
      </w:r>
      <w:r w:rsidR="00FF0215" w:rsidRPr="008075A4">
        <w:rPr>
          <w:rFonts w:ascii="Times New Roman" w:eastAsia="Times New Roman" w:hAnsi="Times New Roman" w:cs="Times New Roman"/>
        </w:rPr>
        <w:t xml:space="preserve"> attainment along gender </w:t>
      </w:r>
      <w:r w:rsidR="009017F0" w:rsidRPr="008075A4">
        <w:rPr>
          <w:rFonts w:ascii="Times New Roman" w:eastAsia="Times New Roman" w:hAnsi="Times New Roman" w:cs="Times New Roman"/>
        </w:rPr>
        <w:t xml:space="preserve">lines </w:t>
      </w:r>
      <w:r w:rsidR="00FF0215" w:rsidRPr="008075A4">
        <w:rPr>
          <w:rFonts w:ascii="Times New Roman" w:eastAsia="Times New Roman" w:hAnsi="Times New Roman" w:cs="Times New Roman"/>
        </w:rPr>
        <w:t xml:space="preserve">look like for </w:t>
      </w:r>
      <w:r w:rsidR="00E2533C" w:rsidRPr="008075A4">
        <w:rPr>
          <w:rFonts w:ascii="Times New Roman" w:eastAsia="Times New Roman" w:hAnsi="Times New Roman" w:cs="Times New Roman"/>
        </w:rPr>
        <w:t xml:space="preserve">women who </w:t>
      </w:r>
      <w:r w:rsidR="00FF0215" w:rsidRPr="008075A4">
        <w:rPr>
          <w:rFonts w:ascii="Times New Roman" w:eastAsia="Times New Roman" w:hAnsi="Times New Roman" w:cs="Times New Roman"/>
        </w:rPr>
        <w:t>are imprisoned?</w:t>
      </w:r>
      <w:r w:rsidR="00313D4E" w:rsidRPr="008075A4">
        <w:rPr>
          <w:rFonts w:ascii="Times New Roman" w:eastAsia="Times New Roman" w:hAnsi="Times New Roman" w:cs="Times New Roman"/>
        </w:rPr>
        <w:t xml:space="preserve"> </w:t>
      </w:r>
      <w:r w:rsidR="00DE767E" w:rsidRPr="008075A4">
        <w:rPr>
          <w:rFonts w:ascii="Times New Roman" w:eastAsia="Times New Roman" w:hAnsi="Times New Roman" w:cs="Times New Roman"/>
        </w:rPr>
        <w:t xml:space="preserve">Rather than </w:t>
      </w:r>
      <w:r w:rsidR="00E217E8">
        <w:rPr>
          <w:rFonts w:ascii="Times New Roman" w:eastAsia="Times New Roman" w:hAnsi="Times New Roman" w:cs="Times New Roman"/>
        </w:rPr>
        <w:t>a focus</w:t>
      </w:r>
      <w:r w:rsidR="00E217E8" w:rsidRPr="008075A4">
        <w:rPr>
          <w:rFonts w:ascii="Times New Roman" w:eastAsia="Times New Roman" w:hAnsi="Times New Roman" w:cs="Times New Roman"/>
        </w:rPr>
        <w:t xml:space="preserve"> </w:t>
      </w:r>
      <w:r w:rsidR="00DE767E" w:rsidRPr="008075A4">
        <w:rPr>
          <w:rFonts w:ascii="Times New Roman" w:eastAsia="Times New Roman" w:hAnsi="Times New Roman" w:cs="Times New Roman"/>
        </w:rPr>
        <w:t xml:space="preserve">on numerical equality in terms of access, it becomes important to </w:t>
      </w:r>
      <w:r w:rsidR="00E217E8">
        <w:rPr>
          <w:rFonts w:ascii="Times New Roman" w:eastAsia="Times New Roman" w:hAnsi="Times New Roman" w:cs="Times New Roman"/>
        </w:rPr>
        <w:t xml:space="preserve">also </w:t>
      </w:r>
      <w:r w:rsidR="00DE767E" w:rsidRPr="008075A4">
        <w:rPr>
          <w:rFonts w:ascii="Times New Roman" w:eastAsia="Times New Roman" w:hAnsi="Times New Roman" w:cs="Times New Roman"/>
        </w:rPr>
        <w:t xml:space="preserve">consider </w:t>
      </w:r>
      <w:r w:rsidR="00E217E8">
        <w:rPr>
          <w:rFonts w:ascii="Times New Roman" w:eastAsia="Times New Roman" w:hAnsi="Times New Roman" w:cs="Times New Roman"/>
        </w:rPr>
        <w:t>the trauma, violence and exploitation that</w:t>
      </w:r>
      <w:r w:rsidR="00E217E8" w:rsidRPr="008075A4">
        <w:rPr>
          <w:rFonts w:ascii="Times New Roman" w:eastAsia="Times New Roman" w:hAnsi="Times New Roman" w:cs="Times New Roman"/>
        </w:rPr>
        <w:t xml:space="preserve"> </w:t>
      </w:r>
      <w:r w:rsidR="00E217E8">
        <w:rPr>
          <w:rFonts w:ascii="Times New Roman" w:eastAsia="Times New Roman" w:hAnsi="Times New Roman" w:cs="Times New Roman"/>
        </w:rPr>
        <w:t xml:space="preserve">many </w:t>
      </w:r>
      <w:r w:rsidR="00DE767E" w:rsidRPr="008075A4">
        <w:rPr>
          <w:rFonts w:ascii="Times New Roman" w:eastAsia="Times New Roman" w:hAnsi="Times New Roman" w:cs="Times New Roman"/>
        </w:rPr>
        <w:t>incarcerated women</w:t>
      </w:r>
      <w:r w:rsidR="00E217E8">
        <w:rPr>
          <w:rFonts w:ascii="Times New Roman" w:eastAsia="Times New Roman" w:hAnsi="Times New Roman" w:cs="Times New Roman"/>
        </w:rPr>
        <w:t xml:space="preserve"> experience at</w:t>
      </w:r>
      <w:r w:rsidR="00DE767E" w:rsidRPr="008075A4">
        <w:rPr>
          <w:rFonts w:ascii="Times New Roman" w:eastAsia="Times New Roman" w:hAnsi="Times New Roman" w:cs="Times New Roman"/>
        </w:rPr>
        <w:t xml:space="preserve"> </w:t>
      </w:r>
      <w:r w:rsidR="00E217E8">
        <w:rPr>
          <w:rFonts w:ascii="Times New Roman" w:eastAsia="Times New Roman" w:hAnsi="Times New Roman" w:cs="Times New Roman"/>
        </w:rPr>
        <w:t>extraordinarily</w:t>
      </w:r>
      <w:r w:rsidR="00E217E8" w:rsidRPr="008075A4">
        <w:rPr>
          <w:rFonts w:ascii="Times New Roman" w:eastAsia="Times New Roman" w:hAnsi="Times New Roman" w:cs="Times New Roman"/>
        </w:rPr>
        <w:t xml:space="preserve"> </w:t>
      </w:r>
      <w:r w:rsidR="00DE767E" w:rsidRPr="008075A4">
        <w:rPr>
          <w:rFonts w:ascii="Times New Roman" w:eastAsia="Times New Roman" w:hAnsi="Times New Roman" w:cs="Times New Roman"/>
        </w:rPr>
        <w:t>high rates</w:t>
      </w:r>
      <w:r w:rsidR="00E217E8">
        <w:rPr>
          <w:rFonts w:ascii="Times New Roman" w:eastAsia="Times New Roman" w:hAnsi="Times New Roman" w:cs="Times New Roman"/>
        </w:rPr>
        <w:t xml:space="preserve">. How do their lived experiences, and the trauma embedded in those experiences, </w:t>
      </w:r>
      <w:r w:rsidR="00DE767E" w:rsidRPr="008075A4">
        <w:rPr>
          <w:rFonts w:ascii="Times New Roman" w:eastAsia="Times New Roman" w:hAnsi="Times New Roman" w:cs="Times New Roman"/>
        </w:rPr>
        <w:t xml:space="preserve">impact their </w:t>
      </w:r>
      <w:r w:rsidR="00E217E8">
        <w:rPr>
          <w:rFonts w:ascii="Times New Roman" w:eastAsia="Times New Roman" w:hAnsi="Times New Roman" w:cs="Times New Roman"/>
        </w:rPr>
        <w:t>ability to participate in, and contribute to, higher education</w:t>
      </w:r>
      <w:r w:rsidR="00DE767E" w:rsidRPr="008075A4">
        <w:rPr>
          <w:rFonts w:ascii="Times New Roman" w:eastAsia="Times New Roman" w:hAnsi="Times New Roman" w:cs="Times New Roman"/>
        </w:rPr>
        <w:t xml:space="preserve"> programs and how </w:t>
      </w:r>
      <w:r w:rsidR="00E217E8">
        <w:rPr>
          <w:rFonts w:ascii="Times New Roman" w:eastAsia="Times New Roman" w:hAnsi="Times New Roman" w:cs="Times New Roman"/>
        </w:rPr>
        <w:t>can the</w:t>
      </w:r>
      <w:r w:rsidR="00E217E8" w:rsidRPr="008075A4">
        <w:rPr>
          <w:rFonts w:ascii="Times New Roman" w:eastAsia="Times New Roman" w:hAnsi="Times New Roman" w:cs="Times New Roman"/>
        </w:rPr>
        <w:t xml:space="preserve"> </w:t>
      </w:r>
      <w:r w:rsidR="00DE767E" w:rsidRPr="008075A4">
        <w:rPr>
          <w:rFonts w:ascii="Times New Roman" w:eastAsia="Times New Roman" w:hAnsi="Times New Roman" w:cs="Times New Roman"/>
        </w:rPr>
        <w:t xml:space="preserve">content of available programming address their </w:t>
      </w:r>
      <w:r w:rsidR="00E217E8">
        <w:rPr>
          <w:rFonts w:ascii="Times New Roman" w:eastAsia="Times New Roman" w:hAnsi="Times New Roman" w:cs="Times New Roman"/>
        </w:rPr>
        <w:t>unique needs</w:t>
      </w:r>
      <w:r w:rsidR="00DE0116" w:rsidRPr="008075A4">
        <w:rPr>
          <w:rFonts w:ascii="Times New Roman" w:eastAsia="Times New Roman" w:hAnsi="Times New Roman" w:cs="Times New Roman"/>
        </w:rPr>
        <w:t xml:space="preserve"> (Vera 2018)</w:t>
      </w:r>
      <w:r w:rsidR="00E217E8">
        <w:rPr>
          <w:rFonts w:ascii="Times New Roman" w:eastAsia="Times New Roman" w:hAnsi="Times New Roman" w:cs="Times New Roman"/>
        </w:rPr>
        <w:t>.</w:t>
      </w:r>
      <w:r w:rsidR="00DE767E" w:rsidRPr="008075A4">
        <w:rPr>
          <w:rFonts w:ascii="Times New Roman" w:eastAsia="Times New Roman" w:hAnsi="Times New Roman" w:cs="Times New Roman"/>
        </w:rPr>
        <w:t xml:space="preserve">   </w:t>
      </w:r>
    </w:p>
    <w:p w14:paraId="33336FFE" w14:textId="6BAAAAE2" w:rsidR="0015403A" w:rsidRPr="008075A4" w:rsidRDefault="00262CE0" w:rsidP="002B4407">
      <w:pPr>
        <w:ind w:firstLine="720"/>
        <w:rPr>
          <w:rFonts w:ascii="Times New Roman" w:hAnsi="Times New Roman" w:cs="Times New Roman"/>
        </w:rPr>
      </w:pPr>
      <w:r w:rsidRPr="008075A4">
        <w:rPr>
          <w:rFonts w:ascii="Times New Roman" w:eastAsia="Times New Roman" w:hAnsi="Times New Roman" w:cs="Times New Roman"/>
        </w:rPr>
        <w:t xml:space="preserve">Implicit in </w:t>
      </w:r>
      <w:r w:rsidR="004C0755" w:rsidRPr="008075A4">
        <w:rPr>
          <w:rFonts w:ascii="Times New Roman" w:eastAsia="Times New Roman" w:hAnsi="Times New Roman" w:cs="Times New Roman"/>
        </w:rPr>
        <w:t xml:space="preserve">higher education </w:t>
      </w:r>
      <w:r w:rsidRPr="008075A4">
        <w:rPr>
          <w:rFonts w:ascii="Times New Roman" w:eastAsia="Times New Roman" w:hAnsi="Times New Roman" w:cs="Times New Roman"/>
        </w:rPr>
        <w:t xml:space="preserve">conversations, </w:t>
      </w:r>
      <w:r w:rsidR="00DE767E" w:rsidRPr="008075A4">
        <w:rPr>
          <w:rFonts w:ascii="Times New Roman" w:eastAsia="Times New Roman" w:hAnsi="Times New Roman" w:cs="Times New Roman"/>
        </w:rPr>
        <w:t xml:space="preserve">as well as </w:t>
      </w:r>
      <w:r w:rsidR="002C5640" w:rsidRPr="008075A4">
        <w:rPr>
          <w:rFonts w:ascii="Times New Roman" w:eastAsia="Times New Roman" w:hAnsi="Times New Roman" w:cs="Times New Roman"/>
        </w:rPr>
        <w:t>most equity analyses</w:t>
      </w:r>
      <w:r w:rsidR="00DE767E" w:rsidRPr="008075A4">
        <w:rPr>
          <w:rFonts w:ascii="Times New Roman" w:eastAsia="Times New Roman" w:hAnsi="Times New Roman" w:cs="Times New Roman"/>
        </w:rPr>
        <w:t xml:space="preserve"> that continue to advocate for HEA’s intent to improve underserved student outcomes</w:t>
      </w:r>
      <w:r w:rsidRPr="008075A4">
        <w:rPr>
          <w:rFonts w:ascii="Times New Roman" w:eastAsia="Times New Roman" w:hAnsi="Times New Roman" w:cs="Times New Roman"/>
        </w:rPr>
        <w:t>,</w:t>
      </w:r>
      <w:r w:rsidR="002C5640" w:rsidRPr="008075A4">
        <w:rPr>
          <w:rFonts w:ascii="Times New Roman" w:eastAsia="Times New Roman" w:hAnsi="Times New Roman" w:cs="Times New Roman"/>
        </w:rPr>
        <w:t xml:space="preserve"> is </w:t>
      </w:r>
      <w:r w:rsidRPr="008075A4">
        <w:rPr>
          <w:rFonts w:ascii="Times New Roman" w:eastAsia="Times New Roman" w:hAnsi="Times New Roman" w:cs="Times New Roman"/>
        </w:rPr>
        <w:t>the assumption that</w:t>
      </w:r>
      <w:r w:rsidR="002C5640" w:rsidRPr="008075A4">
        <w:rPr>
          <w:rFonts w:ascii="Times New Roman" w:eastAsia="Times New Roman" w:hAnsi="Times New Roman" w:cs="Times New Roman"/>
        </w:rPr>
        <w:t xml:space="preserve"> </w:t>
      </w:r>
      <w:r w:rsidR="00DE767E" w:rsidRPr="008075A4">
        <w:rPr>
          <w:rFonts w:ascii="Times New Roman" w:eastAsia="Times New Roman" w:hAnsi="Times New Roman" w:cs="Times New Roman"/>
        </w:rPr>
        <w:lastRenderedPageBreak/>
        <w:t xml:space="preserve">the </w:t>
      </w:r>
      <w:r w:rsidR="00E217E8">
        <w:rPr>
          <w:rFonts w:ascii="Times New Roman" w:eastAsia="Times New Roman" w:hAnsi="Times New Roman" w:cs="Times New Roman"/>
        </w:rPr>
        <w:t>student populations in question are</w:t>
      </w:r>
      <w:r w:rsidR="00DE767E" w:rsidRPr="008075A4">
        <w:rPr>
          <w:rFonts w:ascii="Times New Roman" w:eastAsia="Times New Roman" w:hAnsi="Times New Roman" w:cs="Times New Roman"/>
        </w:rPr>
        <w:t xml:space="preserve"> </w:t>
      </w:r>
      <w:r w:rsidR="00E217E8">
        <w:rPr>
          <w:rFonts w:ascii="Times New Roman" w:eastAsia="Times New Roman" w:hAnsi="Times New Roman" w:cs="Times New Roman"/>
        </w:rPr>
        <w:t xml:space="preserve">not </w:t>
      </w:r>
      <w:r w:rsidR="002C5640" w:rsidRPr="008075A4">
        <w:rPr>
          <w:rFonts w:ascii="Times New Roman" w:eastAsia="Times New Roman" w:hAnsi="Times New Roman" w:cs="Times New Roman"/>
        </w:rPr>
        <w:t>incarcerated</w:t>
      </w:r>
      <w:r w:rsidR="00E217E8">
        <w:rPr>
          <w:rFonts w:ascii="Times New Roman" w:eastAsia="Times New Roman" w:hAnsi="Times New Roman" w:cs="Times New Roman"/>
        </w:rPr>
        <w:t>; these are</w:t>
      </w:r>
      <w:r w:rsidR="002C5640" w:rsidRPr="008075A4">
        <w:rPr>
          <w:rFonts w:ascii="Times New Roman" w:eastAsia="Times New Roman" w:hAnsi="Times New Roman" w:cs="Times New Roman"/>
        </w:rPr>
        <w:t xml:space="preserve"> students </w:t>
      </w:r>
      <w:r w:rsidR="00E217E8">
        <w:rPr>
          <w:rFonts w:ascii="Times New Roman" w:eastAsia="Times New Roman" w:hAnsi="Times New Roman" w:cs="Times New Roman"/>
        </w:rPr>
        <w:t>who attend</w:t>
      </w:r>
      <w:r w:rsidR="00E217E8" w:rsidRPr="008075A4">
        <w:rPr>
          <w:rFonts w:ascii="Times New Roman" w:eastAsia="Times New Roman" w:hAnsi="Times New Roman" w:cs="Times New Roman"/>
        </w:rPr>
        <w:t xml:space="preserve"> </w:t>
      </w:r>
      <w:r w:rsidR="002C5640" w:rsidRPr="008075A4">
        <w:rPr>
          <w:rFonts w:ascii="Times New Roman" w:eastAsia="Times New Roman" w:hAnsi="Times New Roman" w:cs="Times New Roman"/>
        </w:rPr>
        <w:t xml:space="preserve">school outside of the correctional context. In that regard, incarcerated students have largely been </w:t>
      </w:r>
      <w:r w:rsidR="00DE767E" w:rsidRPr="008075A4">
        <w:rPr>
          <w:rFonts w:ascii="Times New Roman" w:eastAsia="Times New Roman" w:hAnsi="Times New Roman" w:cs="Times New Roman"/>
        </w:rPr>
        <w:t xml:space="preserve">rendered </w:t>
      </w:r>
      <w:r w:rsidR="002C5640" w:rsidRPr="008075A4">
        <w:rPr>
          <w:rFonts w:ascii="Times New Roman" w:eastAsia="Times New Roman" w:hAnsi="Times New Roman" w:cs="Times New Roman"/>
        </w:rPr>
        <w:t>invisible in</w:t>
      </w:r>
      <w:r w:rsidRPr="008075A4">
        <w:rPr>
          <w:rFonts w:ascii="Times New Roman" w:eastAsia="Times New Roman" w:hAnsi="Times New Roman" w:cs="Times New Roman"/>
        </w:rPr>
        <w:t xml:space="preserve"> broader </w:t>
      </w:r>
      <w:r w:rsidR="00DE767E" w:rsidRPr="008075A4">
        <w:rPr>
          <w:rFonts w:ascii="Times New Roman" w:eastAsia="Times New Roman" w:hAnsi="Times New Roman" w:cs="Times New Roman"/>
        </w:rPr>
        <w:t>postsecondary</w:t>
      </w:r>
      <w:r w:rsidRPr="008075A4">
        <w:rPr>
          <w:rFonts w:ascii="Times New Roman" w:eastAsia="Times New Roman" w:hAnsi="Times New Roman" w:cs="Times New Roman"/>
        </w:rPr>
        <w:t xml:space="preserve"> equity conversations</w:t>
      </w:r>
      <w:r w:rsidR="00DE767E" w:rsidRPr="008075A4">
        <w:rPr>
          <w:rFonts w:ascii="Times New Roman" w:eastAsia="Times New Roman" w:hAnsi="Times New Roman" w:cs="Times New Roman"/>
        </w:rPr>
        <w:t xml:space="preserve">. </w:t>
      </w:r>
      <w:r w:rsidR="00344F2A" w:rsidRPr="008075A4">
        <w:rPr>
          <w:rFonts w:ascii="Times New Roman" w:eastAsia="Times New Roman" w:hAnsi="Times New Roman" w:cs="Times New Roman"/>
        </w:rPr>
        <w:t xml:space="preserve">The tide is shifting, however, and as </w:t>
      </w:r>
      <w:r w:rsidR="00DE767E" w:rsidRPr="008075A4">
        <w:rPr>
          <w:rFonts w:ascii="Times New Roman" w:eastAsia="Times New Roman" w:hAnsi="Times New Roman" w:cs="Times New Roman"/>
        </w:rPr>
        <w:t xml:space="preserve">the long overdue </w:t>
      </w:r>
      <w:r w:rsidR="00344F2A" w:rsidRPr="008075A4">
        <w:rPr>
          <w:rFonts w:ascii="Times New Roman" w:eastAsia="Times New Roman" w:hAnsi="Times New Roman" w:cs="Times New Roman"/>
        </w:rPr>
        <w:t>HEA reauthorization remains a priority for</w:t>
      </w:r>
      <w:r w:rsidR="00CA653C" w:rsidRPr="008075A4">
        <w:rPr>
          <w:rFonts w:ascii="Times New Roman" w:eastAsia="Times New Roman" w:hAnsi="Times New Roman" w:cs="Times New Roman"/>
        </w:rPr>
        <w:t xml:space="preserve"> both</w:t>
      </w:r>
      <w:r w:rsidR="00344F2A" w:rsidRPr="008075A4">
        <w:rPr>
          <w:rFonts w:ascii="Times New Roman" w:eastAsia="Times New Roman" w:hAnsi="Times New Roman" w:cs="Times New Roman"/>
        </w:rPr>
        <w:t xml:space="preserve"> practitioners</w:t>
      </w:r>
      <w:r w:rsidR="00CA653C" w:rsidRPr="008075A4">
        <w:rPr>
          <w:rFonts w:ascii="Times New Roman" w:eastAsia="Times New Roman" w:hAnsi="Times New Roman" w:cs="Times New Roman"/>
        </w:rPr>
        <w:t xml:space="preserve"> </w:t>
      </w:r>
      <w:r w:rsidR="00344F2A" w:rsidRPr="008075A4">
        <w:rPr>
          <w:rFonts w:ascii="Times New Roman" w:eastAsia="Times New Roman" w:hAnsi="Times New Roman" w:cs="Times New Roman"/>
        </w:rPr>
        <w:t>and policymakers, the ca</w:t>
      </w:r>
      <w:r w:rsidR="002177B0" w:rsidRPr="008075A4">
        <w:rPr>
          <w:rFonts w:ascii="Times New Roman" w:eastAsia="Times New Roman" w:hAnsi="Times New Roman" w:cs="Times New Roman"/>
        </w:rPr>
        <w:t xml:space="preserve">se </w:t>
      </w:r>
      <w:r w:rsidR="0015403A" w:rsidRPr="008075A4">
        <w:rPr>
          <w:rFonts w:ascii="Times New Roman" w:eastAsia="Times New Roman" w:hAnsi="Times New Roman" w:cs="Times New Roman"/>
        </w:rPr>
        <w:t>to improve postsecondary</w:t>
      </w:r>
      <w:r w:rsidR="002177B0" w:rsidRPr="008075A4">
        <w:rPr>
          <w:rFonts w:ascii="Times New Roman" w:eastAsia="Times New Roman" w:hAnsi="Times New Roman" w:cs="Times New Roman"/>
        </w:rPr>
        <w:t xml:space="preserve"> educational access for the incarcerated student</w:t>
      </w:r>
      <w:r w:rsidR="00E217E8">
        <w:rPr>
          <w:rFonts w:ascii="Times New Roman" w:eastAsia="Times New Roman" w:hAnsi="Times New Roman" w:cs="Times New Roman"/>
        </w:rPr>
        <w:t>, and embed them in conversations about higher education, writ large,</w:t>
      </w:r>
      <w:r w:rsidR="00344F2A" w:rsidRPr="008075A4">
        <w:rPr>
          <w:rFonts w:ascii="Times New Roman" w:eastAsia="Times New Roman" w:hAnsi="Times New Roman" w:cs="Times New Roman"/>
        </w:rPr>
        <w:t xml:space="preserve"> </w:t>
      </w:r>
      <w:r w:rsidR="00F400EE" w:rsidRPr="008075A4">
        <w:rPr>
          <w:rFonts w:ascii="Times New Roman" w:eastAsia="Times New Roman" w:hAnsi="Times New Roman" w:cs="Times New Roman"/>
        </w:rPr>
        <w:t>continues to gain momentum on both sides of the aisle.</w:t>
      </w:r>
    </w:p>
    <w:p w14:paraId="69716C0F" w14:textId="77777777" w:rsidR="002B4407" w:rsidRDefault="002B4407" w:rsidP="002B4407">
      <w:pPr>
        <w:rPr>
          <w:rFonts w:ascii="Times New Roman" w:eastAsia="Times New Roman" w:hAnsi="Times New Roman" w:cs="Times New Roman"/>
          <w:b/>
          <w:bCs/>
          <w:i/>
          <w:iCs/>
        </w:rPr>
      </w:pPr>
    </w:p>
    <w:p w14:paraId="08537AF1" w14:textId="5B69CE6E" w:rsidR="004C3B4A" w:rsidRDefault="002E3217" w:rsidP="002B4407">
      <w:pPr>
        <w:rPr>
          <w:rFonts w:ascii="Times New Roman" w:eastAsia="Times New Roman" w:hAnsi="Times New Roman" w:cs="Times New Roman"/>
          <w:b/>
          <w:bCs/>
          <w:i/>
          <w:iCs/>
        </w:rPr>
      </w:pPr>
      <w:r w:rsidRPr="008075A4">
        <w:rPr>
          <w:rFonts w:ascii="Times New Roman" w:eastAsia="Times New Roman" w:hAnsi="Times New Roman" w:cs="Times New Roman"/>
          <w:b/>
          <w:bCs/>
          <w:i/>
          <w:iCs/>
        </w:rPr>
        <w:t>Debating</w:t>
      </w:r>
      <w:r w:rsidR="009C0364" w:rsidRPr="008075A4">
        <w:rPr>
          <w:rFonts w:ascii="Times New Roman" w:eastAsia="Times New Roman" w:hAnsi="Times New Roman" w:cs="Times New Roman"/>
          <w:b/>
          <w:bCs/>
          <w:i/>
          <w:iCs/>
        </w:rPr>
        <w:t xml:space="preserve"> Benefits of Postsecondary Education for Incarcerated Individuals</w:t>
      </w:r>
    </w:p>
    <w:p w14:paraId="4B7445CE" w14:textId="77777777" w:rsidR="00596DBC" w:rsidRPr="008075A4" w:rsidRDefault="00596DBC" w:rsidP="002B4407">
      <w:pPr>
        <w:rPr>
          <w:rFonts w:ascii="Times New Roman" w:eastAsia="Times New Roman" w:hAnsi="Times New Roman" w:cs="Times New Roman"/>
          <w:b/>
          <w:bCs/>
          <w:i/>
          <w:iCs/>
        </w:rPr>
      </w:pPr>
    </w:p>
    <w:p w14:paraId="7402361A" w14:textId="5EEAF5D2" w:rsidR="006C45C3" w:rsidRDefault="00907CF1" w:rsidP="002B4407">
      <w:pPr>
        <w:ind w:firstLine="720"/>
        <w:rPr>
          <w:rFonts w:ascii="Times New Roman" w:eastAsia="Times New Roman" w:hAnsi="Times New Roman" w:cs="Times New Roman"/>
        </w:rPr>
      </w:pPr>
      <w:r w:rsidRPr="008075A4">
        <w:rPr>
          <w:rFonts w:ascii="Times New Roman" w:eastAsia="Times New Roman" w:hAnsi="Times New Roman" w:cs="Times New Roman"/>
        </w:rPr>
        <w:t>Th</w:t>
      </w:r>
      <w:r w:rsidR="008C5BD5" w:rsidRPr="008075A4">
        <w:rPr>
          <w:rFonts w:ascii="Times New Roman" w:eastAsia="Times New Roman" w:hAnsi="Times New Roman" w:cs="Times New Roman"/>
        </w:rPr>
        <w:t xml:space="preserve">e </w:t>
      </w:r>
      <w:r w:rsidRPr="008075A4">
        <w:rPr>
          <w:rFonts w:ascii="Times New Roman" w:eastAsia="Times New Roman" w:hAnsi="Times New Roman" w:cs="Times New Roman"/>
        </w:rPr>
        <w:t xml:space="preserve">debate </w:t>
      </w:r>
      <w:r w:rsidR="008C5BD5" w:rsidRPr="008075A4">
        <w:rPr>
          <w:rFonts w:ascii="Times New Roman" w:eastAsia="Times New Roman" w:hAnsi="Times New Roman" w:cs="Times New Roman"/>
        </w:rPr>
        <w:t xml:space="preserve">around the provision of postsecondary education to incarcerated persons </w:t>
      </w:r>
      <w:r w:rsidRPr="008075A4">
        <w:rPr>
          <w:rFonts w:ascii="Times New Roman" w:eastAsia="Times New Roman" w:hAnsi="Times New Roman" w:cs="Times New Roman"/>
        </w:rPr>
        <w:t>has deep</w:t>
      </w:r>
      <w:r w:rsidR="002E3217" w:rsidRPr="008075A4">
        <w:rPr>
          <w:rFonts w:ascii="Times New Roman" w:eastAsia="Times New Roman" w:hAnsi="Times New Roman" w:cs="Times New Roman"/>
        </w:rPr>
        <w:t xml:space="preserve"> </w:t>
      </w:r>
      <w:r w:rsidRPr="008075A4">
        <w:rPr>
          <w:rFonts w:ascii="Times New Roman" w:eastAsia="Times New Roman" w:hAnsi="Times New Roman" w:cs="Times New Roman"/>
        </w:rPr>
        <w:t>historical routes</w:t>
      </w:r>
      <w:r w:rsidR="008C5BD5" w:rsidRPr="008075A4">
        <w:rPr>
          <w:rFonts w:ascii="Times New Roman" w:eastAsia="Times New Roman" w:hAnsi="Times New Roman" w:cs="Times New Roman"/>
        </w:rPr>
        <w:t xml:space="preserve">. </w:t>
      </w:r>
      <w:r w:rsidR="002A4D16" w:rsidRPr="008075A4">
        <w:rPr>
          <w:rFonts w:ascii="Times New Roman" w:eastAsia="Times New Roman" w:hAnsi="Times New Roman" w:cs="Times New Roman"/>
        </w:rPr>
        <w:t>Data in support of this type of programming date</w:t>
      </w:r>
      <w:r w:rsidRPr="008075A4">
        <w:rPr>
          <w:rFonts w:ascii="Times New Roman" w:eastAsia="Times New Roman" w:hAnsi="Times New Roman" w:cs="Times New Roman"/>
        </w:rPr>
        <w:t xml:space="preserve"> back to the late nineteenth century when </w:t>
      </w:r>
      <w:r w:rsidR="0D149460" w:rsidRPr="008075A4">
        <w:rPr>
          <w:rFonts w:ascii="Times New Roman" w:eastAsia="Times New Roman" w:hAnsi="Times New Roman" w:cs="Times New Roman"/>
        </w:rPr>
        <w:t>Louis Pilsbury, the president of the</w:t>
      </w:r>
      <w:r w:rsidR="62971D2C" w:rsidRPr="008075A4">
        <w:rPr>
          <w:rFonts w:ascii="Times New Roman" w:eastAsia="Times New Roman" w:hAnsi="Times New Roman" w:cs="Times New Roman"/>
        </w:rPr>
        <w:t xml:space="preserve"> </w:t>
      </w:r>
      <w:r w:rsidR="00BF690C">
        <w:rPr>
          <w:rFonts w:ascii="Times New Roman" w:eastAsia="Times New Roman" w:hAnsi="Times New Roman" w:cs="Times New Roman"/>
        </w:rPr>
        <w:t xml:space="preserve">Board of Managers at the </w:t>
      </w:r>
      <w:r w:rsidRPr="008075A4">
        <w:rPr>
          <w:rFonts w:ascii="Times New Roman" w:eastAsia="Times New Roman" w:hAnsi="Times New Roman" w:cs="Times New Roman"/>
        </w:rPr>
        <w:t xml:space="preserve">New York State Reformatory at Elmira, noted that inmate behavior was positively impacted by participation in educational programming </w:t>
      </w:r>
      <w:sdt>
        <w:sdtPr>
          <w:rPr>
            <w:rFonts w:ascii="Times New Roman" w:hAnsi="Times New Roman" w:cs="Times New Roman"/>
          </w:rPr>
          <w:id w:val="-1148968094"/>
          <w:citation/>
        </w:sdtPr>
        <w:sdtEndPr/>
        <w:sdtContent>
          <w:r w:rsidRPr="008E04F3">
            <w:rPr>
              <w:rFonts w:ascii="Times New Roman" w:hAnsi="Times New Roman" w:cs="Times New Roman"/>
            </w:rPr>
            <w:fldChar w:fldCharType="begin"/>
          </w:r>
          <w:r w:rsidRPr="008075A4">
            <w:rPr>
              <w:rFonts w:ascii="Times New Roman" w:hAnsi="Times New Roman" w:cs="Times New Roman"/>
            </w:rPr>
            <w:instrText xml:space="preserve"> CITATION Pil77 \l 1033 </w:instrText>
          </w:r>
          <w:r w:rsidRPr="008E04F3">
            <w:rPr>
              <w:rFonts w:ascii="Times New Roman" w:hAnsi="Times New Roman" w:cs="Times New Roman"/>
            </w:rPr>
            <w:fldChar w:fldCharType="separate"/>
          </w:r>
          <w:r w:rsidRPr="008075A4">
            <w:rPr>
              <w:rFonts w:ascii="Times New Roman" w:hAnsi="Times New Roman" w:cs="Times New Roman"/>
              <w:noProof/>
            </w:rPr>
            <w:t>(Pilsbury 1877)</w:t>
          </w:r>
          <w:r w:rsidRPr="008E04F3">
            <w:rPr>
              <w:rFonts w:ascii="Times New Roman" w:hAnsi="Times New Roman" w:cs="Times New Roman"/>
            </w:rPr>
            <w:fldChar w:fldCharType="end"/>
          </w:r>
        </w:sdtContent>
      </w:sdt>
      <w:r w:rsidRPr="008075A4">
        <w:rPr>
          <w:rFonts w:ascii="Times New Roman" w:eastAsia="Times New Roman" w:hAnsi="Times New Roman" w:cs="Times New Roman"/>
        </w:rPr>
        <w:t xml:space="preserve">. </w:t>
      </w:r>
      <w:r w:rsidR="002D0599" w:rsidRPr="008075A4">
        <w:rPr>
          <w:rFonts w:ascii="Times New Roman" w:eastAsia="Times New Roman" w:hAnsi="Times New Roman" w:cs="Times New Roman"/>
        </w:rPr>
        <w:t>Almost a century later,</w:t>
      </w:r>
      <w:r w:rsidRPr="008075A4">
        <w:rPr>
          <w:rFonts w:ascii="Times New Roman" w:eastAsia="Times New Roman" w:hAnsi="Times New Roman" w:cs="Times New Roman"/>
        </w:rPr>
        <w:t xml:space="preserve"> Seashore &amp; Haberfeld (1976) penned their seminal work </w:t>
      </w:r>
      <w:r w:rsidRPr="008075A4">
        <w:rPr>
          <w:rFonts w:ascii="Times New Roman" w:eastAsia="Times New Roman" w:hAnsi="Times New Roman" w:cs="Times New Roman"/>
          <w:i/>
          <w:iCs/>
        </w:rPr>
        <w:t>Prisoner Education: project NewGate and Other College Programs</w:t>
      </w:r>
      <w:r w:rsidR="00EE4E2A" w:rsidRPr="008075A4">
        <w:rPr>
          <w:rFonts w:ascii="Times New Roman" w:eastAsia="Times New Roman" w:hAnsi="Times New Roman" w:cs="Times New Roman"/>
        </w:rPr>
        <w:t xml:space="preserve">, </w:t>
      </w:r>
      <w:r w:rsidRPr="008075A4">
        <w:rPr>
          <w:rFonts w:ascii="Times New Roman" w:eastAsia="Times New Roman" w:hAnsi="Times New Roman" w:cs="Times New Roman"/>
        </w:rPr>
        <w:t xml:space="preserve">similarly highlighting the benefits of educating incarcerated persons. </w:t>
      </w:r>
      <w:r w:rsidR="00DE5A81" w:rsidRPr="008075A4">
        <w:rPr>
          <w:rFonts w:ascii="Times New Roman" w:eastAsia="Times New Roman" w:hAnsi="Times New Roman" w:cs="Times New Roman"/>
        </w:rPr>
        <w:t xml:space="preserve">Following their work, </w:t>
      </w:r>
      <w:r w:rsidR="00B47772" w:rsidRPr="008075A4">
        <w:rPr>
          <w:rFonts w:ascii="Times New Roman" w:eastAsia="Times New Roman" w:hAnsi="Times New Roman" w:cs="Times New Roman"/>
        </w:rPr>
        <w:t>programs continued to</w:t>
      </w:r>
      <w:r w:rsidR="002D1C5A" w:rsidRPr="008075A4">
        <w:rPr>
          <w:rFonts w:ascii="Times New Roman" w:eastAsia="Times New Roman" w:hAnsi="Times New Roman" w:cs="Times New Roman"/>
        </w:rPr>
        <w:t xml:space="preserve"> increase in states like Texas (Texas Prison College System), Alabama (J.F. Ingram Community College</w:t>
      </w:r>
      <w:r w:rsidR="00B10562" w:rsidRPr="008075A4">
        <w:rPr>
          <w:rFonts w:ascii="Times New Roman" w:eastAsia="Times New Roman" w:hAnsi="Times New Roman" w:cs="Times New Roman"/>
        </w:rPr>
        <w:t xml:space="preserve">), and New York (Niagara Consortium at Attica) </w:t>
      </w:r>
      <w:r w:rsidR="00C36BA7" w:rsidRPr="008075A4">
        <w:rPr>
          <w:rFonts w:ascii="Times New Roman" w:eastAsia="Times New Roman" w:hAnsi="Times New Roman" w:cs="Times New Roman"/>
        </w:rPr>
        <w:t>while research continued to demonstrate the positive impacts of education behind bars</w:t>
      </w:r>
      <w:r w:rsidR="00AE1EFB" w:rsidRPr="008075A4">
        <w:rPr>
          <w:rFonts w:ascii="Times New Roman" w:eastAsia="Times New Roman" w:hAnsi="Times New Roman" w:cs="Times New Roman"/>
        </w:rPr>
        <w:t xml:space="preserve"> (Gehring 1997)</w:t>
      </w:r>
      <w:r w:rsidR="009B0730" w:rsidRPr="008075A4">
        <w:rPr>
          <w:rFonts w:ascii="Times New Roman" w:eastAsia="Times New Roman" w:hAnsi="Times New Roman" w:cs="Times New Roman"/>
        </w:rPr>
        <w:t xml:space="preserve">. Specifically, research </w:t>
      </w:r>
      <w:r w:rsidR="00BF690C">
        <w:rPr>
          <w:rFonts w:ascii="Times New Roman" w:eastAsia="Times New Roman" w:hAnsi="Times New Roman" w:cs="Times New Roman"/>
        </w:rPr>
        <w:t>has demonstrated</w:t>
      </w:r>
      <w:r w:rsidR="00BF690C" w:rsidRPr="008075A4">
        <w:rPr>
          <w:rFonts w:ascii="Times New Roman" w:eastAsia="Times New Roman" w:hAnsi="Times New Roman" w:cs="Times New Roman"/>
        </w:rPr>
        <w:t xml:space="preserve"> </w:t>
      </w:r>
      <w:r w:rsidR="00B3519D" w:rsidRPr="008075A4">
        <w:rPr>
          <w:rFonts w:ascii="Times New Roman" w:eastAsia="Times New Roman" w:hAnsi="Times New Roman" w:cs="Times New Roman"/>
        </w:rPr>
        <w:t xml:space="preserve">that </w:t>
      </w:r>
      <w:r w:rsidR="009B0730" w:rsidRPr="008075A4">
        <w:rPr>
          <w:rFonts w:ascii="Times New Roman" w:eastAsia="Times New Roman" w:hAnsi="Times New Roman" w:cs="Times New Roman"/>
        </w:rPr>
        <w:t>a formerly incarcerated individual</w:t>
      </w:r>
      <w:r w:rsidR="00B3519D" w:rsidRPr="008075A4">
        <w:rPr>
          <w:rFonts w:ascii="Times New Roman" w:eastAsia="Times New Roman" w:hAnsi="Times New Roman" w:cs="Times New Roman"/>
        </w:rPr>
        <w:t xml:space="preserve"> with a postsecondary credential has a better chance of securing </w:t>
      </w:r>
      <w:r w:rsidR="00AE1EFB" w:rsidRPr="008075A4">
        <w:rPr>
          <w:rFonts w:ascii="Times New Roman" w:eastAsia="Times New Roman" w:hAnsi="Times New Roman" w:cs="Times New Roman"/>
        </w:rPr>
        <w:t xml:space="preserve">post-release </w:t>
      </w:r>
      <w:r w:rsidR="00B3519D" w:rsidRPr="008075A4">
        <w:rPr>
          <w:rFonts w:ascii="Times New Roman" w:eastAsia="Times New Roman" w:hAnsi="Times New Roman" w:cs="Times New Roman"/>
        </w:rPr>
        <w:t xml:space="preserve">employment than </w:t>
      </w:r>
      <w:r w:rsidR="009B0730" w:rsidRPr="008075A4">
        <w:rPr>
          <w:rFonts w:ascii="Times New Roman" w:eastAsia="Times New Roman" w:hAnsi="Times New Roman" w:cs="Times New Roman"/>
        </w:rPr>
        <w:t>a formerly incarcerated individual</w:t>
      </w:r>
      <w:r w:rsidR="00B3519D" w:rsidRPr="008075A4">
        <w:rPr>
          <w:rFonts w:ascii="Times New Roman" w:eastAsia="Times New Roman" w:hAnsi="Times New Roman" w:cs="Times New Roman"/>
        </w:rPr>
        <w:t xml:space="preserve"> </w:t>
      </w:r>
      <w:r w:rsidR="00AE1EFB" w:rsidRPr="008075A4">
        <w:rPr>
          <w:rFonts w:ascii="Times New Roman" w:eastAsia="Times New Roman" w:hAnsi="Times New Roman" w:cs="Times New Roman"/>
        </w:rPr>
        <w:t>without a credential</w:t>
      </w:r>
      <w:r w:rsidR="00C36BA7" w:rsidRPr="008075A4">
        <w:rPr>
          <w:rFonts w:ascii="Times New Roman" w:eastAsia="Times New Roman" w:hAnsi="Times New Roman" w:cs="Times New Roman"/>
        </w:rPr>
        <w:t xml:space="preserve"> (Gordon &amp; Weldon 2003; Kim 2010; Kim &amp; Clark 2013; Nally, Lockwood, Knutson, &amp; Ho 2012).</w:t>
      </w:r>
      <w:r w:rsidR="00737787">
        <w:rPr>
          <w:rFonts w:ascii="Times New Roman" w:eastAsia="Times New Roman" w:hAnsi="Times New Roman" w:cs="Times New Roman"/>
        </w:rPr>
        <w:t xml:space="preserve"> </w:t>
      </w:r>
      <w:r w:rsidR="002902CE" w:rsidRPr="008075A4">
        <w:rPr>
          <w:rFonts w:ascii="Times New Roman" w:eastAsia="Times New Roman" w:hAnsi="Times New Roman" w:cs="Times New Roman"/>
        </w:rPr>
        <w:t xml:space="preserve">Contextualizing these </w:t>
      </w:r>
      <w:r w:rsidR="001C6AE6" w:rsidRPr="008075A4">
        <w:rPr>
          <w:rFonts w:ascii="Times New Roman" w:eastAsia="Times New Roman" w:hAnsi="Times New Roman" w:cs="Times New Roman"/>
        </w:rPr>
        <w:t xml:space="preserve">overall </w:t>
      </w:r>
      <w:r w:rsidR="002902CE" w:rsidRPr="008075A4">
        <w:rPr>
          <w:rFonts w:ascii="Times New Roman" w:eastAsia="Times New Roman" w:hAnsi="Times New Roman" w:cs="Times New Roman"/>
        </w:rPr>
        <w:t>findings</w:t>
      </w:r>
      <w:r w:rsidR="001C6AE6" w:rsidRPr="008075A4">
        <w:rPr>
          <w:rFonts w:ascii="Times New Roman" w:eastAsia="Times New Roman" w:hAnsi="Times New Roman" w:cs="Times New Roman"/>
        </w:rPr>
        <w:t xml:space="preserve"> regarding the link between education and post-release outcomes</w:t>
      </w:r>
      <w:r w:rsidR="002902CE" w:rsidRPr="008075A4">
        <w:rPr>
          <w:rFonts w:ascii="Times New Roman" w:eastAsia="Times New Roman" w:hAnsi="Times New Roman" w:cs="Times New Roman"/>
        </w:rPr>
        <w:t xml:space="preserve">, Pager (2007) provides empirical evidence that even with the “negative credential” of the </w:t>
      </w:r>
      <w:r w:rsidR="009B0730" w:rsidRPr="008075A4">
        <w:rPr>
          <w:rFonts w:ascii="Times New Roman" w:eastAsia="Times New Roman" w:hAnsi="Times New Roman" w:cs="Times New Roman"/>
        </w:rPr>
        <w:t>“</w:t>
      </w:r>
      <w:r w:rsidR="002902CE" w:rsidRPr="008075A4">
        <w:rPr>
          <w:rFonts w:ascii="Times New Roman" w:eastAsia="Times New Roman" w:hAnsi="Times New Roman" w:cs="Times New Roman"/>
        </w:rPr>
        <w:t>ex-offender</w:t>
      </w:r>
      <w:r w:rsidR="009B0730" w:rsidRPr="008075A4">
        <w:rPr>
          <w:rFonts w:ascii="Times New Roman" w:eastAsia="Times New Roman" w:hAnsi="Times New Roman" w:cs="Times New Roman"/>
        </w:rPr>
        <w:t>”</w:t>
      </w:r>
      <w:r w:rsidR="002902CE" w:rsidRPr="008075A4">
        <w:rPr>
          <w:rFonts w:ascii="Times New Roman" w:eastAsia="Times New Roman" w:hAnsi="Times New Roman" w:cs="Times New Roman"/>
        </w:rPr>
        <w:t xml:space="preserve"> label, </w:t>
      </w:r>
      <w:r w:rsidR="00737787">
        <w:rPr>
          <w:rFonts w:ascii="Times New Roman" w:eastAsia="Times New Roman" w:hAnsi="Times New Roman" w:cs="Times New Roman"/>
        </w:rPr>
        <w:t xml:space="preserve">White </w:t>
      </w:r>
      <w:r w:rsidR="002902CE" w:rsidRPr="008075A4">
        <w:rPr>
          <w:rFonts w:ascii="Times New Roman" w:eastAsia="Times New Roman" w:hAnsi="Times New Roman" w:cs="Times New Roman"/>
        </w:rPr>
        <w:t xml:space="preserve">ex-offenders are more likely to secure employment post-release than their similarly credentialed </w:t>
      </w:r>
      <w:r w:rsidR="3B1ED682" w:rsidRPr="008075A4">
        <w:rPr>
          <w:rFonts w:ascii="Times New Roman" w:eastAsia="Times New Roman" w:hAnsi="Times New Roman" w:cs="Times New Roman"/>
        </w:rPr>
        <w:t>Black c</w:t>
      </w:r>
      <w:r w:rsidR="002902CE" w:rsidRPr="008075A4">
        <w:rPr>
          <w:rFonts w:ascii="Times New Roman" w:eastAsia="Times New Roman" w:hAnsi="Times New Roman" w:cs="Times New Roman"/>
        </w:rPr>
        <w:t>ounterparts. The research around the importance of higher education programs in prison is clear</w:t>
      </w:r>
      <w:r w:rsidR="00737787">
        <w:rPr>
          <w:rFonts w:ascii="Times New Roman" w:eastAsia="Times New Roman" w:hAnsi="Times New Roman" w:cs="Times New Roman"/>
        </w:rPr>
        <w:t>; on average,</w:t>
      </w:r>
      <w:r w:rsidR="002902CE" w:rsidRPr="008075A4">
        <w:rPr>
          <w:rFonts w:ascii="Times New Roman" w:eastAsia="Times New Roman" w:hAnsi="Times New Roman" w:cs="Times New Roman"/>
        </w:rPr>
        <w:t xml:space="preserve"> </w:t>
      </w:r>
      <w:r w:rsidR="009B0730" w:rsidRPr="008075A4">
        <w:rPr>
          <w:rFonts w:ascii="Times New Roman" w:eastAsia="Times New Roman" w:hAnsi="Times New Roman" w:cs="Times New Roman"/>
        </w:rPr>
        <w:t>returning citizens</w:t>
      </w:r>
      <w:r w:rsidR="002902CE" w:rsidRPr="008075A4">
        <w:rPr>
          <w:rFonts w:ascii="Times New Roman" w:eastAsia="Times New Roman" w:hAnsi="Times New Roman" w:cs="Times New Roman"/>
        </w:rPr>
        <w:t xml:space="preserve"> with </w:t>
      </w:r>
      <w:r w:rsidR="00737787">
        <w:rPr>
          <w:rFonts w:ascii="Times New Roman" w:eastAsia="Times New Roman" w:hAnsi="Times New Roman" w:cs="Times New Roman"/>
        </w:rPr>
        <w:t xml:space="preserve">education </w:t>
      </w:r>
      <w:r w:rsidR="002902CE" w:rsidRPr="008075A4">
        <w:rPr>
          <w:rFonts w:ascii="Times New Roman" w:eastAsia="Times New Roman" w:hAnsi="Times New Roman" w:cs="Times New Roman"/>
        </w:rPr>
        <w:t xml:space="preserve">credentials fare better in post-release employment </w:t>
      </w:r>
      <w:r w:rsidR="00737787">
        <w:rPr>
          <w:rFonts w:ascii="Times New Roman" w:eastAsia="Times New Roman" w:hAnsi="Times New Roman" w:cs="Times New Roman"/>
        </w:rPr>
        <w:t xml:space="preserve">and other outcomes </w:t>
      </w:r>
      <w:r w:rsidR="002902CE" w:rsidRPr="008075A4">
        <w:rPr>
          <w:rFonts w:ascii="Times New Roman" w:eastAsia="Times New Roman" w:hAnsi="Times New Roman" w:cs="Times New Roman"/>
        </w:rPr>
        <w:t xml:space="preserve">than those without credentials, </w:t>
      </w:r>
      <w:r w:rsidR="00737787">
        <w:rPr>
          <w:rFonts w:ascii="Times New Roman" w:eastAsia="Times New Roman" w:hAnsi="Times New Roman" w:cs="Times New Roman"/>
        </w:rPr>
        <w:t>however</w:t>
      </w:r>
      <w:r w:rsidR="00737787" w:rsidRPr="008075A4">
        <w:rPr>
          <w:rFonts w:ascii="Times New Roman" w:eastAsia="Times New Roman" w:hAnsi="Times New Roman" w:cs="Times New Roman"/>
        </w:rPr>
        <w:t xml:space="preserve"> </w:t>
      </w:r>
      <w:r w:rsidR="002902CE" w:rsidRPr="008075A4">
        <w:rPr>
          <w:rFonts w:ascii="Times New Roman" w:eastAsia="Times New Roman" w:hAnsi="Times New Roman" w:cs="Times New Roman"/>
        </w:rPr>
        <w:t>race</w:t>
      </w:r>
      <w:r w:rsidR="006A6144" w:rsidRPr="008075A4">
        <w:rPr>
          <w:rFonts w:ascii="Times New Roman" w:eastAsia="Times New Roman" w:hAnsi="Times New Roman" w:cs="Times New Roman"/>
        </w:rPr>
        <w:t xml:space="preserve"> and </w:t>
      </w:r>
      <w:r w:rsidR="002902CE" w:rsidRPr="008075A4">
        <w:rPr>
          <w:rFonts w:ascii="Times New Roman" w:eastAsia="Times New Roman" w:hAnsi="Times New Roman" w:cs="Times New Roman"/>
        </w:rPr>
        <w:t xml:space="preserve">ethnicity still play a significant role. </w:t>
      </w:r>
    </w:p>
    <w:p w14:paraId="46A6C302" w14:textId="77777777" w:rsidR="00596DBC" w:rsidRPr="008075A4" w:rsidRDefault="00596DBC" w:rsidP="002B4407">
      <w:pPr>
        <w:ind w:firstLine="720"/>
        <w:rPr>
          <w:rFonts w:ascii="Times New Roman" w:eastAsia="Times New Roman" w:hAnsi="Times New Roman" w:cs="Times New Roman"/>
        </w:rPr>
      </w:pPr>
    </w:p>
    <w:p w14:paraId="75E47198" w14:textId="76E56F99" w:rsidR="009C0364" w:rsidRPr="008075A4" w:rsidRDefault="006C45C3" w:rsidP="002B4407">
      <w:pPr>
        <w:ind w:firstLine="720"/>
        <w:rPr>
          <w:rFonts w:ascii="Times New Roman" w:eastAsia="Times New Roman" w:hAnsi="Times New Roman" w:cs="Times New Roman"/>
        </w:rPr>
      </w:pPr>
      <w:r w:rsidRPr="008075A4">
        <w:rPr>
          <w:rFonts w:ascii="Times New Roman" w:eastAsia="Times New Roman" w:hAnsi="Times New Roman" w:cs="Times New Roman"/>
        </w:rPr>
        <w:t xml:space="preserve">Despite </w:t>
      </w:r>
      <w:r w:rsidR="006A6144" w:rsidRPr="008075A4">
        <w:rPr>
          <w:rFonts w:ascii="Times New Roman" w:eastAsia="Times New Roman" w:hAnsi="Times New Roman" w:cs="Times New Roman"/>
        </w:rPr>
        <w:t xml:space="preserve">over </w:t>
      </w:r>
      <w:r w:rsidRPr="008075A4">
        <w:rPr>
          <w:rFonts w:ascii="Times New Roman" w:eastAsia="Times New Roman" w:hAnsi="Times New Roman" w:cs="Times New Roman"/>
        </w:rPr>
        <w:t>a</w:t>
      </w:r>
      <w:r w:rsidR="002902CE" w:rsidRPr="008075A4">
        <w:rPr>
          <w:rFonts w:ascii="Times New Roman" w:eastAsia="Times New Roman" w:hAnsi="Times New Roman" w:cs="Times New Roman"/>
        </w:rPr>
        <w:t xml:space="preserve"> century’s worth of </w:t>
      </w:r>
      <w:r w:rsidRPr="008075A4">
        <w:rPr>
          <w:rFonts w:ascii="Times New Roman" w:eastAsia="Times New Roman" w:hAnsi="Times New Roman" w:cs="Times New Roman"/>
        </w:rPr>
        <w:t>research</w:t>
      </w:r>
      <w:r w:rsidR="002902CE" w:rsidRPr="008075A4">
        <w:rPr>
          <w:rFonts w:ascii="Times New Roman" w:eastAsia="Times New Roman" w:hAnsi="Times New Roman" w:cs="Times New Roman"/>
        </w:rPr>
        <w:t xml:space="preserve"> on the </w:t>
      </w:r>
      <w:r w:rsidRPr="008075A4">
        <w:rPr>
          <w:rFonts w:ascii="Times New Roman" w:eastAsia="Times New Roman" w:hAnsi="Times New Roman" w:cs="Times New Roman"/>
        </w:rPr>
        <w:t>benefits of postsecondary access for incarcerated students</w:t>
      </w:r>
      <w:r w:rsidR="002902CE" w:rsidRPr="008075A4">
        <w:rPr>
          <w:rFonts w:ascii="Times New Roman" w:eastAsia="Times New Roman" w:hAnsi="Times New Roman" w:cs="Times New Roman"/>
        </w:rPr>
        <w:t xml:space="preserve">, </w:t>
      </w:r>
      <w:r w:rsidRPr="008075A4">
        <w:rPr>
          <w:rFonts w:ascii="Times New Roman" w:eastAsia="Times New Roman" w:hAnsi="Times New Roman" w:cs="Times New Roman"/>
        </w:rPr>
        <w:t xml:space="preserve">the debates were recently reignited </w:t>
      </w:r>
      <w:r w:rsidR="00456DFB" w:rsidRPr="008075A4">
        <w:rPr>
          <w:rFonts w:ascii="Times New Roman" w:eastAsia="Times New Roman" w:hAnsi="Times New Roman" w:cs="Times New Roman"/>
        </w:rPr>
        <w:t>by</w:t>
      </w:r>
      <w:r w:rsidR="002902CE" w:rsidRPr="008075A4">
        <w:rPr>
          <w:rFonts w:ascii="Times New Roman" w:eastAsia="Times New Roman" w:hAnsi="Times New Roman" w:cs="Times New Roman"/>
        </w:rPr>
        <w:t xml:space="preserve"> </w:t>
      </w:r>
      <w:r w:rsidR="006C15D2" w:rsidRPr="008075A4">
        <w:rPr>
          <w:rFonts w:ascii="Times New Roman" w:eastAsia="Times New Roman" w:hAnsi="Times New Roman" w:cs="Times New Roman"/>
        </w:rPr>
        <w:t>then-</w:t>
      </w:r>
      <w:r w:rsidR="002902CE" w:rsidRPr="008075A4">
        <w:rPr>
          <w:rFonts w:ascii="Times New Roman" w:eastAsia="Times New Roman" w:hAnsi="Times New Roman" w:cs="Times New Roman"/>
        </w:rPr>
        <w:t xml:space="preserve">President Obama’s </w:t>
      </w:r>
      <w:r w:rsidR="006C15D2" w:rsidRPr="008075A4">
        <w:rPr>
          <w:rFonts w:ascii="Times New Roman" w:eastAsia="Times New Roman" w:hAnsi="Times New Roman" w:cs="Times New Roman"/>
        </w:rPr>
        <w:t xml:space="preserve">criminal justice </w:t>
      </w:r>
      <w:r w:rsidR="00581703" w:rsidRPr="008075A4">
        <w:rPr>
          <w:rFonts w:ascii="Times New Roman" w:eastAsia="Times New Roman" w:hAnsi="Times New Roman" w:cs="Times New Roman"/>
        </w:rPr>
        <w:t xml:space="preserve">reform </w:t>
      </w:r>
      <w:r w:rsidR="006C15D2" w:rsidRPr="008075A4">
        <w:rPr>
          <w:rFonts w:ascii="Times New Roman" w:eastAsia="Times New Roman" w:hAnsi="Times New Roman" w:cs="Times New Roman"/>
        </w:rPr>
        <w:t xml:space="preserve">agenda. </w:t>
      </w:r>
      <w:r w:rsidR="00581703" w:rsidRPr="008075A4">
        <w:rPr>
          <w:rFonts w:ascii="Times New Roman" w:eastAsia="Times New Roman" w:hAnsi="Times New Roman" w:cs="Times New Roman"/>
        </w:rPr>
        <w:t>A 2013</w:t>
      </w:r>
      <w:r w:rsidR="00F777BA" w:rsidRPr="008075A4">
        <w:rPr>
          <w:rFonts w:ascii="Times New Roman" w:eastAsia="Times New Roman" w:hAnsi="Times New Roman" w:cs="Times New Roman"/>
        </w:rPr>
        <w:t xml:space="preserve"> </w:t>
      </w:r>
      <w:r w:rsidR="00D91193" w:rsidRPr="008075A4">
        <w:rPr>
          <w:rFonts w:ascii="Times New Roman" w:eastAsia="Times New Roman" w:hAnsi="Times New Roman" w:cs="Times New Roman"/>
        </w:rPr>
        <w:t>RAND</w:t>
      </w:r>
      <w:r w:rsidR="00F23DFF" w:rsidRPr="008075A4">
        <w:rPr>
          <w:rFonts w:ascii="Times New Roman" w:eastAsia="Times New Roman" w:hAnsi="Times New Roman" w:cs="Times New Roman"/>
        </w:rPr>
        <w:t xml:space="preserve"> study represented the </w:t>
      </w:r>
      <w:r w:rsidR="00581703" w:rsidRPr="008075A4">
        <w:rPr>
          <w:rFonts w:ascii="Times New Roman" w:eastAsia="Times New Roman" w:hAnsi="Times New Roman" w:cs="Times New Roman"/>
        </w:rPr>
        <w:t xml:space="preserve">contemporary </w:t>
      </w:r>
      <w:r w:rsidR="00F777BA" w:rsidRPr="008075A4">
        <w:rPr>
          <w:rFonts w:ascii="Times New Roman" w:eastAsia="Times New Roman" w:hAnsi="Times New Roman" w:cs="Times New Roman"/>
        </w:rPr>
        <w:t xml:space="preserve">watershed moment </w:t>
      </w:r>
      <w:r w:rsidR="009C0364" w:rsidRPr="008075A4">
        <w:rPr>
          <w:rFonts w:ascii="Times New Roman" w:eastAsia="Times New Roman" w:hAnsi="Times New Roman" w:cs="Times New Roman"/>
        </w:rPr>
        <w:t>in research examining the impact of educational opportunities on incarcerated students’ post-release outcomes</w:t>
      </w:r>
      <w:r w:rsidR="00F23DFF" w:rsidRPr="008075A4">
        <w:rPr>
          <w:rFonts w:ascii="Times New Roman" w:eastAsia="Times New Roman" w:hAnsi="Times New Roman" w:cs="Times New Roman"/>
        </w:rPr>
        <w:t>. C</w:t>
      </w:r>
      <w:r w:rsidR="00E04194" w:rsidRPr="008075A4">
        <w:rPr>
          <w:rFonts w:ascii="Times New Roman" w:eastAsia="Times New Roman" w:hAnsi="Times New Roman" w:cs="Times New Roman"/>
        </w:rPr>
        <w:t>ommissioned by former Attorney General Eric Holder,</w:t>
      </w:r>
      <w:r w:rsidR="00F777BA" w:rsidRPr="008075A4">
        <w:rPr>
          <w:rFonts w:ascii="Times New Roman" w:eastAsia="Times New Roman" w:hAnsi="Times New Roman" w:cs="Times New Roman"/>
        </w:rPr>
        <w:t xml:space="preserve"> th</w:t>
      </w:r>
      <w:r w:rsidR="00F23DFF" w:rsidRPr="008075A4">
        <w:rPr>
          <w:rFonts w:ascii="Times New Roman" w:eastAsia="Times New Roman" w:hAnsi="Times New Roman" w:cs="Times New Roman"/>
        </w:rPr>
        <w:t>e study</w:t>
      </w:r>
      <w:r w:rsidR="00581703" w:rsidRPr="008075A4">
        <w:rPr>
          <w:rFonts w:ascii="Times New Roman" w:eastAsia="Times New Roman" w:hAnsi="Times New Roman" w:cs="Times New Roman"/>
        </w:rPr>
        <w:t xml:space="preserve"> entitled </w:t>
      </w:r>
      <w:r w:rsidR="00581703" w:rsidRPr="008075A4">
        <w:rPr>
          <w:rFonts w:ascii="Times New Roman" w:eastAsia="Times New Roman" w:hAnsi="Times New Roman" w:cs="Times New Roman"/>
          <w:i/>
          <w:iCs/>
        </w:rPr>
        <w:t>Evaluating the Effectiveness of Correctional Education</w:t>
      </w:r>
      <w:r w:rsidR="00581703" w:rsidRPr="008075A4">
        <w:rPr>
          <w:rFonts w:ascii="Times New Roman" w:eastAsia="Times New Roman" w:hAnsi="Times New Roman" w:cs="Times New Roman"/>
        </w:rPr>
        <w:t xml:space="preserve"> </w:t>
      </w:r>
      <w:r w:rsidR="00F777BA" w:rsidRPr="008075A4">
        <w:rPr>
          <w:rFonts w:ascii="Times New Roman" w:eastAsia="Times New Roman" w:hAnsi="Times New Roman" w:cs="Times New Roman"/>
        </w:rPr>
        <w:t xml:space="preserve">highlighted the </w:t>
      </w:r>
      <w:r w:rsidR="00F37292" w:rsidRPr="008075A4">
        <w:rPr>
          <w:rFonts w:ascii="Times New Roman" w:eastAsia="Times New Roman" w:hAnsi="Times New Roman" w:cs="Times New Roman"/>
        </w:rPr>
        <w:t xml:space="preserve">individual and societal </w:t>
      </w:r>
      <w:r w:rsidR="00F777BA" w:rsidRPr="008075A4">
        <w:rPr>
          <w:rFonts w:ascii="Times New Roman" w:eastAsia="Times New Roman" w:hAnsi="Times New Roman" w:cs="Times New Roman"/>
        </w:rPr>
        <w:t>post-release benefits of the completion of education programs while behind bars</w:t>
      </w:r>
      <w:r w:rsidR="009C0364" w:rsidRPr="008075A4">
        <w:rPr>
          <w:rFonts w:ascii="Times New Roman" w:eastAsia="Times New Roman" w:hAnsi="Times New Roman" w:cs="Times New Roman"/>
        </w:rPr>
        <w:t>.</w:t>
      </w:r>
      <w:r w:rsidR="0015403A" w:rsidRPr="008075A4">
        <w:rPr>
          <w:rFonts w:ascii="Times New Roman" w:eastAsia="Times New Roman" w:hAnsi="Times New Roman" w:cs="Times New Roman"/>
        </w:rPr>
        <w:t xml:space="preserve"> </w:t>
      </w:r>
      <w:r w:rsidR="009C0364" w:rsidRPr="008075A4">
        <w:rPr>
          <w:rFonts w:ascii="Times New Roman" w:eastAsia="Times New Roman" w:hAnsi="Times New Roman" w:cs="Times New Roman"/>
        </w:rPr>
        <w:t>The study’s findings</w:t>
      </w:r>
      <w:r w:rsidR="00BF6A72" w:rsidRPr="008075A4">
        <w:rPr>
          <w:rFonts w:ascii="Times New Roman" w:eastAsia="Times New Roman" w:hAnsi="Times New Roman" w:cs="Times New Roman"/>
        </w:rPr>
        <w:t xml:space="preserve"> noted that</w:t>
      </w:r>
      <w:r w:rsidR="00A74CE8" w:rsidRPr="008075A4">
        <w:rPr>
          <w:rFonts w:ascii="Times New Roman" w:eastAsia="Times New Roman" w:hAnsi="Times New Roman" w:cs="Times New Roman"/>
        </w:rPr>
        <w:t xml:space="preserve"> ex-offenders who completed an education program while incarcerated had 43% lower odds of re</w:t>
      </w:r>
      <w:r w:rsidR="00654DAD" w:rsidRPr="008075A4">
        <w:rPr>
          <w:rFonts w:ascii="Times New Roman" w:eastAsia="Times New Roman" w:hAnsi="Times New Roman" w:cs="Times New Roman"/>
        </w:rPr>
        <w:t>turning to custody than those who did no</w:t>
      </w:r>
      <w:r w:rsidR="00DA54D6" w:rsidRPr="008075A4">
        <w:rPr>
          <w:rFonts w:ascii="Times New Roman" w:eastAsia="Times New Roman" w:hAnsi="Times New Roman" w:cs="Times New Roman"/>
        </w:rPr>
        <w:t>t</w:t>
      </w:r>
      <w:r w:rsidR="00022F90" w:rsidRPr="008075A4">
        <w:rPr>
          <w:rFonts w:ascii="Times New Roman" w:eastAsia="Times New Roman" w:hAnsi="Times New Roman" w:cs="Times New Roman"/>
        </w:rPr>
        <w:t xml:space="preserve">, translating to a 13 percentage-point reduction in recidivism </w:t>
      </w:r>
      <w:r w:rsidR="00CA1C3C" w:rsidRPr="008075A4">
        <w:rPr>
          <w:rFonts w:ascii="Times New Roman" w:eastAsia="Times New Roman" w:hAnsi="Times New Roman" w:cs="Times New Roman"/>
        </w:rPr>
        <w:t>risk</w:t>
      </w:r>
      <w:r w:rsidR="00022F90" w:rsidRPr="008075A4">
        <w:rPr>
          <w:rFonts w:ascii="Times New Roman" w:eastAsia="Times New Roman" w:hAnsi="Times New Roman" w:cs="Times New Roman"/>
        </w:rPr>
        <w:t xml:space="preserve"> for program </w:t>
      </w:r>
      <w:r w:rsidR="00CA1C3C" w:rsidRPr="008075A4">
        <w:rPr>
          <w:rFonts w:ascii="Times New Roman" w:eastAsia="Times New Roman" w:hAnsi="Times New Roman" w:cs="Times New Roman"/>
        </w:rPr>
        <w:t>participants</w:t>
      </w:r>
      <w:r w:rsidR="00BF6A72" w:rsidRPr="008075A4">
        <w:rPr>
          <w:rFonts w:ascii="Times New Roman" w:eastAsia="Times New Roman" w:hAnsi="Times New Roman" w:cs="Times New Roman"/>
        </w:rPr>
        <w:t xml:space="preserve"> </w:t>
      </w:r>
      <w:sdt>
        <w:sdtPr>
          <w:rPr>
            <w:rFonts w:ascii="Times New Roman" w:hAnsi="Times New Roman" w:cs="Times New Roman"/>
          </w:rPr>
          <w:id w:val="-1199465483"/>
          <w:citation/>
        </w:sdtPr>
        <w:sdtEndPr/>
        <w:sdtContent>
          <w:r w:rsidR="00F777BA" w:rsidRPr="008E04F3">
            <w:rPr>
              <w:rFonts w:ascii="Times New Roman" w:hAnsi="Times New Roman" w:cs="Times New Roman"/>
            </w:rPr>
            <w:fldChar w:fldCharType="begin"/>
          </w:r>
          <w:r w:rsidR="00F777BA" w:rsidRPr="008075A4">
            <w:rPr>
              <w:rFonts w:ascii="Times New Roman" w:hAnsi="Times New Roman" w:cs="Times New Roman"/>
            </w:rPr>
            <w:instrText xml:space="preserve"> CITATION Dav13 \l 1033 </w:instrText>
          </w:r>
          <w:r w:rsidR="00F777BA" w:rsidRPr="008E04F3">
            <w:rPr>
              <w:rFonts w:ascii="Times New Roman" w:hAnsi="Times New Roman" w:cs="Times New Roman"/>
            </w:rPr>
            <w:fldChar w:fldCharType="separate"/>
          </w:r>
          <w:r w:rsidR="0075233E" w:rsidRPr="008075A4">
            <w:rPr>
              <w:rFonts w:ascii="Times New Roman" w:hAnsi="Times New Roman" w:cs="Times New Roman"/>
              <w:noProof/>
            </w:rPr>
            <w:t>(Davis, et al. 2013)</w:t>
          </w:r>
          <w:r w:rsidR="00F777BA" w:rsidRPr="008E04F3">
            <w:rPr>
              <w:rFonts w:ascii="Times New Roman" w:hAnsi="Times New Roman" w:cs="Times New Roman"/>
            </w:rPr>
            <w:fldChar w:fldCharType="end"/>
          </w:r>
        </w:sdtContent>
      </w:sdt>
      <w:r w:rsidR="00F777BA" w:rsidRPr="008075A4">
        <w:rPr>
          <w:rFonts w:ascii="Times New Roman" w:eastAsia="Times New Roman" w:hAnsi="Times New Roman" w:cs="Times New Roman"/>
        </w:rPr>
        <w:t>.</w:t>
      </w:r>
      <w:r w:rsidR="00737787">
        <w:rPr>
          <w:rFonts w:ascii="Times New Roman" w:eastAsia="Times New Roman" w:hAnsi="Times New Roman" w:cs="Times New Roman"/>
        </w:rPr>
        <w:t xml:space="preserve"> </w:t>
      </w:r>
    </w:p>
    <w:p w14:paraId="04FC2157" w14:textId="3F443766" w:rsidR="00052442" w:rsidRDefault="00DA54D6" w:rsidP="002B4407">
      <w:pPr>
        <w:ind w:firstLine="720"/>
        <w:rPr>
          <w:rFonts w:ascii="Times New Roman" w:eastAsia="Times New Roman" w:hAnsi="Times New Roman" w:cs="Times New Roman"/>
        </w:rPr>
      </w:pPr>
      <w:r w:rsidRPr="008075A4">
        <w:rPr>
          <w:rFonts w:ascii="Times New Roman" w:eastAsia="Times New Roman" w:hAnsi="Times New Roman" w:cs="Times New Roman"/>
        </w:rPr>
        <w:t>Toward</w:t>
      </w:r>
      <w:r w:rsidR="00581703" w:rsidRPr="008075A4">
        <w:rPr>
          <w:rFonts w:ascii="Times New Roman" w:eastAsia="Times New Roman" w:hAnsi="Times New Roman" w:cs="Times New Roman"/>
        </w:rPr>
        <w:t xml:space="preserve"> the end of the Obama </w:t>
      </w:r>
      <w:r w:rsidR="00CF04BF" w:rsidRPr="008075A4">
        <w:rPr>
          <w:rFonts w:ascii="Times New Roman" w:eastAsia="Times New Roman" w:hAnsi="Times New Roman" w:cs="Times New Roman"/>
        </w:rPr>
        <w:t>administration</w:t>
      </w:r>
      <w:r w:rsidR="00C16393">
        <w:rPr>
          <w:rFonts w:ascii="Times New Roman" w:eastAsia="Times New Roman" w:hAnsi="Times New Roman" w:cs="Times New Roman"/>
        </w:rPr>
        <w:t>,</w:t>
      </w:r>
      <w:r w:rsidR="00581703" w:rsidRPr="008075A4">
        <w:rPr>
          <w:rFonts w:ascii="Times New Roman" w:eastAsia="Times New Roman" w:hAnsi="Times New Roman" w:cs="Times New Roman"/>
        </w:rPr>
        <w:t xml:space="preserve"> in the fall of 2016, </w:t>
      </w:r>
      <w:r w:rsidR="008533C6" w:rsidRPr="008075A4">
        <w:rPr>
          <w:rFonts w:ascii="Times New Roman" w:eastAsia="Times New Roman" w:hAnsi="Times New Roman" w:cs="Times New Roman"/>
        </w:rPr>
        <w:t>the Department of Education use</w:t>
      </w:r>
      <w:r w:rsidR="0042483F" w:rsidRPr="008075A4">
        <w:rPr>
          <w:rFonts w:ascii="Times New Roman" w:eastAsia="Times New Roman" w:hAnsi="Times New Roman" w:cs="Times New Roman"/>
        </w:rPr>
        <w:t>d</w:t>
      </w:r>
      <w:r w:rsidR="008533C6" w:rsidRPr="008075A4">
        <w:rPr>
          <w:rFonts w:ascii="Times New Roman" w:eastAsia="Times New Roman" w:hAnsi="Times New Roman" w:cs="Times New Roman"/>
        </w:rPr>
        <w:t xml:space="preserve"> its Experience Sites Initiative (ESI) authority, permitted</w:t>
      </w:r>
      <w:r w:rsidR="00ED492E" w:rsidRPr="008075A4">
        <w:rPr>
          <w:rFonts w:ascii="Times New Roman" w:eastAsia="Times New Roman" w:hAnsi="Times New Roman" w:cs="Times New Roman"/>
        </w:rPr>
        <w:t xml:space="preserve"> by HEA in 1965,</w:t>
      </w:r>
      <w:r w:rsidR="008533C6" w:rsidRPr="008075A4">
        <w:rPr>
          <w:rFonts w:ascii="Times New Roman" w:eastAsia="Times New Roman" w:hAnsi="Times New Roman" w:cs="Times New Roman"/>
        </w:rPr>
        <w:t xml:space="preserve"> </w:t>
      </w:r>
      <w:r w:rsidR="007F494C" w:rsidRPr="008075A4">
        <w:rPr>
          <w:rFonts w:ascii="Times New Roman" w:eastAsia="Times New Roman" w:hAnsi="Times New Roman" w:cs="Times New Roman"/>
        </w:rPr>
        <w:t>to</w:t>
      </w:r>
      <w:r w:rsidR="00ED492E" w:rsidRPr="008075A4">
        <w:rPr>
          <w:rFonts w:ascii="Times New Roman" w:eastAsia="Times New Roman" w:hAnsi="Times New Roman" w:cs="Times New Roman"/>
        </w:rPr>
        <w:t xml:space="preserve"> </w:t>
      </w:r>
      <w:r w:rsidR="007F494C" w:rsidRPr="008075A4">
        <w:rPr>
          <w:rFonts w:ascii="Times New Roman" w:eastAsia="Times New Roman" w:hAnsi="Times New Roman" w:cs="Times New Roman"/>
        </w:rPr>
        <w:lastRenderedPageBreak/>
        <w:t>announce a</w:t>
      </w:r>
      <w:r w:rsidR="496E05CF" w:rsidRPr="008075A4">
        <w:rPr>
          <w:rFonts w:ascii="Times New Roman" w:eastAsia="Times New Roman" w:hAnsi="Times New Roman" w:cs="Times New Roman"/>
        </w:rPr>
        <w:t xml:space="preserve"> Second Chance Pell Pilot </w:t>
      </w:r>
      <w:r w:rsidR="008F7D8F" w:rsidRPr="008075A4">
        <w:rPr>
          <w:rFonts w:ascii="Times New Roman" w:hAnsi="Times New Roman" w:cs="Times New Roman"/>
          <w:noProof/>
        </w:rPr>
        <w:t>(U.S. Department of Education, 2016; Wexler 2016)</w:t>
      </w:r>
      <w:r w:rsidR="00BA157C" w:rsidRPr="002B4407">
        <w:rPr>
          <w:rStyle w:val="CommentReference"/>
          <w:rFonts w:ascii="Times New Roman" w:hAnsi="Times New Roman" w:cs="Times New Roman"/>
          <w:sz w:val="24"/>
          <w:szCs w:val="24"/>
        </w:rPr>
        <w:t>.</w:t>
      </w:r>
      <w:r w:rsidR="007D7726" w:rsidRPr="008075A4">
        <w:rPr>
          <w:rFonts w:ascii="Times New Roman" w:eastAsia="Times New Roman" w:hAnsi="Times New Roman" w:cs="Times New Roman"/>
        </w:rPr>
        <w:t xml:space="preserve"> As a result, </w:t>
      </w:r>
      <w:r w:rsidR="444F6B3E" w:rsidRPr="008075A4">
        <w:rPr>
          <w:rFonts w:ascii="Times New Roman" w:eastAsia="Times New Roman" w:hAnsi="Times New Roman" w:cs="Times New Roman"/>
        </w:rPr>
        <w:t xml:space="preserve">67 </w:t>
      </w:r>
      <w:r w:rsidR="008533C6" w:rsidRPr="008075A4">
        <w:rPr>
          <w:rFonts w:ascii="Times New Roman" w:eastAsia="Times New Roman" w:hAnsi="Times New Roman" w:cs="Times New Roman"/>
        </w:rPr>
        <w:t xml:space="preserve">colleges and universities </w:t>
      </w:r>
      <w:r w:rsidR="444F6B3E" w:rsidRPr="008075A4">
        <w:rPr>
          <w:rFonts w:ascii="Times New Roman" w:eastAsia="Times New Roman" w:hAnsi="Times New Roman" w:cs="Times New Roman"/>
        </w:rPr>
        <w:t>were selected to parti</w:t>
      </w:r>
      <w:r w:rsidR="4345109F" w:rsidRPr="008075A4">
        <w:rPr>
          <w:rFonts w:ascii="Times New Roman" w:eastAsia="Times New Roman" w:hAnsi="Times New Roman" w:cs="Times New Roman"/>
        </w:rPr>
        <w:t>cipate in the pilot and offer</w:t>
      </w:r>
      <w:r w:rsidR="5B1ED4D9" w:rsidRPr="008075A4">
        <w:rPr>
          <w:rFonts w:ascii="Times New Roman" w:eastAsia="Times New Roman" w:hAnsi="Times New Roman" w:cs="Times New Roman"/>
        </w:rPr>
        <w:t xml:space="preserve"> credit-bearing postsecondary programs inside correctional facilities, offering a range of credentials that included career and technical certificates, </w:t>
      </w:r>
      <w:r w:rsidR="4345109F" w:rsidRPr="008075A4">
        <w:rPr>
          <w:rFonts w:ascii="Times New Roman" w:eastAsia="Times New Roman" w:hAnsi="Times New Roman" w:cs="Times New Roman"/>
        </w:rPr>
        <w:t>associate</w:t>
      </w:r>
      <w:r w:rsidR="62971D2C" w:rsidRPr="008075A4">
        <w:rPr>
          <w:rFonts w:ascii="Times New Roman" w:eastAsia="Times New Roman" w:hAnsi="Times New Roman" w:cs="Times New Roman"/>
        </w:rPr>
        <w:t>’</w:t>
      </w:r>
      <w:r w:rsidR="0D149460" w:rsidRPr="008075A4">
        <w:rPr>
          <w:rFonts w:ascii="Times New Roman" w:eastAsia="Times New Roman" w:hAnsi="Times New Roman" w:cs="Times New Roman"/>
        </w:rPr>
        <w:t>s</w:t>
      </w:r>
      <w:r w:rsidR="5B1ED4D9" w:rsidRPr="008075A4">
        <w:rPr>
          <w:rFonts w:ascii="Times New Roman" w:eastAsia="Times New Roman" w:hAnsi="Times New Roman" w:cs="Times New Roman"/>
        </w:rPr>
        <w:t xml:space="preserve"> degrees, and </w:t>
      </w:r>
      <w:r w:rsidR="5B7B608E" w:rsidRPr="008075A4">
        <w:rPr>
          <w:rFonts w:ascii="Times New Roman" w:eastAsia="Times New Roman" w:hAnsi="Times New Roman" w:cs="Times New Roman"/>
        </w:rPr>
        <w:t>bachelor</w:t>
      </w:r>
      <w:r w:rsidR="1F26EE7D" w:rsidRPr="008075A4">
        <w:rPr>
          <w:rFonts w:ascii="Times New Roman" w:eastAsia="Times New Roman" w:hAnsi="Times New Roman" w:cs="Times New Roman"/>
        </w:rPr>
        <w:t>’</w:t>
      </w:r>
      <w:r w:rsidR="3E701075" w:rsidRPr="008075A4">
        <w:rPr>
          <w:rFonts w:ascii="Times New Roman" w:eastAsia="Times New Roman" w:hAnsi="Times New Roman" w:cs="Times New Roman"/>
        </w:rPr>
        <w:t>s</w:t>
      </w:r>
      <w:r w:rsidR="4D29C01C" w:rsidRPr="008075A4">
        <w:rPr>
          <w:rFonts w:ascii="Times New Roman" w:eastAsia="Times New Roman" w:hAnsi="Times New Roman" w:cs="Times New Roman"/>
        </w:rPr>
        <w:t xml:space="preserve"> degrees. </w:t>
      </w:r>
      <w:bookmarkStart w:id="4" w:name="_Hlk524685721"/>
      <w:r w:rsidR="5B1ED4D9" w:rsidRPr="008075A4">
        <w:rPr>
          <w:rFonts w:ascii="Times New Roman" w:eastAsia="Times New Roman" w:hAnsi="Times New Roman" w:cs="Times New Roman"/>
        </w:rPr>
        <w:t xml:space="preserve">The Vera Institute of Justice (2018) </w:t>
      </w:r>
      <w:r w:rsidR="7530808E" w:rsidRPr="008075A4">
        <w:rPr>
          <w:rFonts w:ascii="Times New Roman" w:eastAsia="Times New Roman" w:hAnsi="Times New Roman" w:cs="Times New Roman"/>
        </w:rPr>
        <w:t>noted that</w:t>
      </w:r>
      <w:r w:rsidR="1F26EE7D" w:rsidRPr="008075A4">
        <w:rPr>
          <w:rFonts w:ascii="Times New Roman" w:eastAsia="Times New Roman" w:hAnsi="Times New Roman" w:cs="Times New Roman"/>
        </w:rPr>
        <w:t xml:space="preserve">, </w:t>
      </w:r>
      <w:bookmarkStart w:id="5" w:name="_Hlk524705542"/>
      <w:r w:rsidR="1F26EE7D" w:rsidRPr="008075A4">
        <w:rPr>
          <w:rFonts w:ascii="Times New Roman" w:eastAsia="Times New Roman" w:hAnsi="Times New Roman" w:cs="Times New Roman"/>
        </w:rPr>
        <w:t>b</w:t>
      </w:r>
      <w:r w:rsidR="21B6557B" w:rsidRPr="008075A4">
        <w:rPr>
          <w:rFonts w:ascii="Times New Roman" w:eastAsia="Times New Roman" w:hAnsi="Times New Roman" w:cs="Times New Roman"/>
        </w:rPr>
        <w:t>y the conclusion of Fall 2017, student enrollment had increased</w:t>
      </w:r>
      <w:r w:rsidR="31AC5A01" w:rsidRPr="008075A4">
        <w:rPr>
          <w:rFonts w:ascii="Times New Roman" w:eastAsia="Times New Roman" w:hAnsi="Times New Roman" w:cs="Times New Roman"/>
        </w:rPr>
        <w:t xml:space="preserve"> 231% since the beginning of the experiment and the number of courses offered had increased 124%.</w:t>
      </w:r>
      <w:bookmarkEnd w:id="4"/>
      <w:bookmarkEnd w:id="5"/>
      <w:r w:rsidR="31AC5A01" w:rsidRPr="008075A4">
        <w:rPr>
          <w:rFonts w:ascii="Times New Roman" w:eastAsia="Times New Roman" w:hAnsi="Times New Roman" w:cs="Times New Roman"/>
        </w:rPr>
        <w:t xml:space="preserve"> </w:t>
      </w:r>
      <w:bookmarkStart w:id="6" w:name="_Hlk524705559"/>
      <w:r w:rsidR="1BE11D6C" w:rsidRPr="008075A4">
        <w:rPr>
          <w:rFonts w:ascii="Times New Roman" w:eastAsia="Times New Roman" w:hAnsi="Times New Roman" w:cs="Times New Roman"/>
        </w:rPr>
        <w:t>In terms of completion metrics, 954 postsecondary credentials have been awarded since the start of the experiment; 701 are certificates, 230 are associate</w:t>
      </w:r>
      <w:r w:rsidR="20D1CEA6" w:rsidRPr="008075A4">
        <w:rPr>
          <w:rFonts w:ascii="Times New Roman" w:eastAsia="Times New Roman" w:hAnsi="Times New Roman" w:cs="Times New Roman"/>
        </w:rPr>
        <w:t>’</w:t>
      </w:r>
      <w:r w:rsidR="2C50A4C2" w:rsidRPr="008075A4">
        <w:rPr>
          <w:rFonts w:ascii="Times New Roman" w:eastAsia="Times New Roman" w:hAnsi="Times New Roman" w:cs="Times New Roman"/>
        </w:rPr>
        <w:t xml:space="preserve">s, and 23 are </w:t>
      </w:r>
      <w:r w:rsidR="1B7BF789" w:rsidRPr="008075A4">
        <w:rPr>
          <w:rFonts w:ascii="Times New Roman" w:eastAsia="Times New Roman" w:hAnsi="Times New Roman" w:cs="Times New Roman"/>
        </w:rPr>
        <w:t>bachelor</w:t>
      </w:r>
      <w:r w:rsidR="3B05CE4B" w:rsidRPr="008075A4">
        <w:rPr>
          <w:rFonts w:ascii="Times New Roman" w:eastAsia="Times New Roman" w:hAnsi="Times New Roman" w:cs="Times New Roman"/>
        </w:rPr>
        <w:t>’</w:t>
      </w:r>
      <w:r w:rsidR="6EF57B74" w:rsidRPr="008075A4">
        <w:rPr>
          <w:rFonts w:ascii="Times New Roman" w:eastAsia="Times New Roman" w:hAnsi="Times New Roman" w:cs="Times New Roman"/>
        </w:rPr>
        <w:t>s</w:t>
      </w:r>
      <w:r w:rsidR="0FB0A915" w:rsidRPr="008075A4">
        <w:rPr>
          <w:rFonts w:ascii="Times New Roman" w:eastAsia="Times New Roman" w:hAnsi="Times New Roman" w:cs="Times New Roman"/>
        </w:rPr>
        <w:t xml:space="preserve"> degrees.</w:t>
      </w:r>
      <w:bookmarkEnd w:id="6"/>
      <w:r w:rsidR="0FB0A915" w:rsidRPr="008075A4">
        <w:rPr>
          <w:rFonts w:ascii="Times New Roman" w:eastAsia="Times New Roman" w:hAnsi="Times New Roman" w:cs="Times New Roman"/>
        </w:rPr>
        <w:t xml:space="preserve"> </w:t>
      </w:r>
      <w:r w:rsidR="791D94C4" w:rsidRPr="008075A4">
        <w:rPr>
          <w:rFonts w:ascii="Times New Roman" w:eastAsia="Times New Roman" w:hAnsi="Times New Roman" w:cs="Times New Roman"/>
        </w:rPr>
        <w:t>These data indicate that not only did more students enroll as the program progressed, but institutional capacity increased to accommodate more available courses</w:t>
      </w:r>
      <w:r w:rsidR="17F2AE04" w:rsidRPr="008075A4">
        <w:rPr>
          <w:rFonts w:ascii="Times New Roman" w:eastAsia="Times New Roman" w:hAnsi="Times New Roman" w:cs="Times New Roman"/>
        </w:rPr>
        <w:t xml:space="preserve"> and, m</w:t>
      </w:r>
      <w:r w:rsidR="471CEDEF" w:rsidRPr="008075A4">
        <w:rPr>
          <w:rFonts w:ascii="Times New Roman" w:eastAsia="Times New Roman" w:hAnsi="Times New Roman" w:cs="Times New Roman"/>
        </w:rPr>
        <w:t xml:space="preserve">ost importantly, incarcerated students </w:t>
      </w:r>
      <w:r w:rsidR="1324BAD8" w:rsidRPr="008075A4">
        <w:rPr>
          <w:rFonts w:ascii="Times New Roman" w:eastAsia="Times New Roman" w:hAnsi="Times New Roman" w:cs="Times New Roman"/>
        </w:rPr>
        <w:t xml:space="preserve">were </w:t>
      </w:r>
      <w:r w:rsidR="45D7D19C" w:rsidRPr="008075A4">
        <w:rPr>
          <w:rFonts w:ascii="Times New Roman" w:eastAsia="Times New Roman" w:hAnsi="Times New Roman" w:cs="Times New Roman"/>
        </w:rPr>
        <w:t>succeeding</w:t>
      </w:r>
      <w:r w:rsidR="53DFDF88" w:rsidRPr="008075A4">
        <w:rPr>
          <w:rFonts w:ascii="Times New Roman" w:eastAsia="Times New Roman" w:hAnsi="Times New Roman" w:cs="Times New Roman"/>
        </w:rPr>
        <w:t>.</w:t>
      </w:r>
      <w:r w:rsidR="496E05CF" w:rsidRPr="008075A4">
        <w:rPr>
          <w:rFonts w:ascii="Times New Roman" w:eastAsia="Times New Roman" w:hAnsi="Times New Roman" w:cs="Times New Roman"/>
        </w:rPr>
        <w:t xml:space="preserve"> </w:t>
      </w:r>
    </w:p>
    <w:p w14:paraId="0693EF09" w14:textId="77777777" w:rsidR="00596DBC" w:rsidRPr="008075A4" w:rsidRDefault="00596DBC" w:rsidP="002B4407">
      <w:pPr>
        <w:ind w:firstLine="720"/>
        <w:rPr>
          <w:rFonts w:ascii="Times New Roman" w:eastAsia="Times New Roman" w:hAnsi="Times New Roman" w:cs="Times New Roman"/>
        </w:rPr>
      </w:pPr>
    </w:p>
    <w:p w14:paraId="48DAFC3B" w14:textId="35EBF7A4" w:rsidR="00D03529" w:rsidRPr="008075A4" w:rsidRDefault="0033388E" w:rsidP="002B4407">
      <w:pPr>
        <w:ind w:firstLine="720"/>
        <w:rPr>
          <w:rFonts w:ascii="Times New Roman" w:hAnsi="Times New Roman" w:cs="Times New Roman"/>
        </w:rPr>
      </w:pPr>
      <w:r w:rsidRPr="008075A4">
        <w:rPr>
          <w:rFonts w:ascii="Times New Roman" w:eastAsia="Times New Roman" w:hAnsi="Times New Roman" w:cs="Times New Roman"/>
        </w:rPr>
        <w:t xml:space="preserve">It is important </w:t>
      </w:r>
      <w:r w:rsidR="00B541AA" w:rsidRPr="008075A4">
        <w:rPr>
          <w:rFonts w:ascii="Times New Roman" w:eastAsia="Times New Roman" w:hAnsi="Times New Roman" w:cs="Times New Roman"/>
        </w:rPr>
        <w:t>to understand that these experimental sites represent only 33% of all higher education programs in correctional facilities</w:t>
      </w:r>
      <w:r w:rsidR="004232BF" w:rsidRPr="008075A4">
        <w:rPr>
          <w:rFonts w:ascii="Times New Roman" w:eastAsia="Times New Roman" w:hAnsi="Times New Roman" w:cs="Times New Roman"/>
        </w:rPr>
        <w:t xml:space="preserve"> </w:t>
      </w:r>
      <w:r w:rsidR="00C16393">
        <w:rPr>
          <w:rFonts w:ascii="Times New Roman" w:eastAsia="Times New Roman" w:hAnsi="Times New Roman" w:cs="Times New Roman"/>
        </w:rPr>
        <w:t>when discerning</w:t>
      </w:r>
      <w:r w:rsidRPr="008075A4">
        <w:rPr>
          <w:rFonts w:ascii="Times New Roman" w:eastAsia="Times New Roman" w:hAnsi="Times New Roman" w:cs="Times New Roman"/>
        </w:rPr>
        <w:t xml:space="preserve"> the pilot’s ability </w:t>
      </w:r>
      <w:r w:rsidR="004232BF" w:rsidRPr="008075A4">
        <w:rPr>
          <w:rFonts w:ascii="Times New Roman" w:eastAsia="Times New Roman" w:hAnsi="Times New Roman" w:cs="Times New Roman"/>
        </w:rPr>
        <w:t>to meaningfully</w:t>
      </w:r>
      <w:r w:rsidRPr="008075A4">
        <w:rPr>
          <w:rFonts w:ascii="Times New Roman" w:eastAsia="Times New Roman" w:hAnsi="Times New Roman" w:cs="Times New Roman"/>
        </w:rPr>
        <w:t xml:space="preserve"> increase postsecondary access for the broader population of incarcerated learners</w:t>
      </w:r>
      <w:r w:rsidR="000B1273" w:rsidRPr="008075A4">
        <w:rPr>
          <w:rFonts w:ascii="Times New Roman" w:eastAsia="Times New Roman" w:hAnsi="Times New Roman" w:cs="Times New Roman"/>
        </w:rPr>
        <w:t xml:space="preserve">. </w:t>
      </w:r>
      <w:r w:rsidR="00DA5E61" w:rsidRPr="008075A4">
        <w:rPr>
          <w:rFonts w:ascii="Times New Roman" w:eastAsia="Times New Roman" w:hAnsi="Times New Roman" w:cs="Times New Roman"/>
        </w:rPr>
        <w:t>R</w:t>
      </w:r>
      <w:r w:rsidR="00BB3F96" w:rsidRPr="008075A4">
        <w:rPr>
          <w:rFonts w:ascii="Times New Roman" w:eastAsia="Times New Roman" w:hAnsi="Times New Roman" w:cs="Times New Roman"/>
        </w:rPr>
        <w:t xml:space="preserve">esearch </w:t>
      </w:r>
      <w:r w:rsidR="00B544C9" w:rsidRPr="008075A4">
        <w:rPr>
          <w:rFonts w:ascii="Times New Roman" w:eastAsia="Times New Roman" w:hAnsi="Times New Roman" w:cs="Times New Roman"/>
        </w:rPr>
        <w:t>examining</w:t>
      </w:r>
      <w:r w:rsidR="00BB3F96" w:rsidRPr="008075A4">
        <w:rPr>
          <w:rFonts w:ascii="Times New Roman" w:eastAsia="Times New Roman" w:hAnsi="Times New Roman" w:cs="Times New Roman"/>
        </w:rPr>
        <w:t xml:space="preserve"> the 2009-2010 academic year indicated that select correctional facilities in 43 states undertook some form of postsecondary education</w:t>
      </w:r>
      <w:r w:rsidR="00364311" w:rsidRPr="008075A4">
        <w:rPr>
          <w:rFonts w:ascii="Times New Roman" w:eastAsia="Times New Roman" w:hAnsi="Times New Roman" w:cs="Times New Roman"/>
        </w:rPr>
        <w:t xml:space="preserve"> (</w:t>
      </w:r>
      <w:r w:rsidR="00514CC1" w:rsidRPr="008075A4">
        <w:rPr>
          <w:rFonts w:ascii="Times New Roman" w:eastAsia="Times New Roman" w:hAnsi="Times New Roman" w:cs="Times New Roman"/>
        </w:rPr>
        <w:t>IHEP 2011</w:t>
      </w:r>
      <w:r w:rsidR="00364311" w:rsidRPr="008075A4">
        <w:rPr>
          <w:rFonts w:ascii="Times New Roman" w:eastAsia="Times New Roman" w:hAnsi="Times New Roman" w:cs="Times New Roman"/>
        </w:rPr>
        <w:t>)</w:t>
      </w:r>
      <w:r w:rsidR="00BB3F96" w:rsidRPr="008075A4">
        <w:rPr>
          <w:rFonts w:ascii="Times New Roman" w:eastAsia="Times New Roman" w:hAnsi="Times New Roman" w:cs="Times New Roman"/>
        </w:rPr>
        <w:t xml:space="preserve">, </w:t>
      </w:r>
      <w:r w:rsidR="00DA5E61" w:rsidRPr="008075A4">
        <w:rPr>
          <w:rFonts w:ascii="Times New Roman" w:eastAsia="Times New Roman" w:hAnsi="Times New Roman" w:cs="Times New Roman"/>
        </w:rPr>
        <w:t xml:space="preserve">though </w:t>
      </w:r>
      <w:r w:rsidR="00BB3F96" w:rsidRPr="008075A4">
        <w:rPr>
          <w:rFonts w:ascii="Times New Roman" w:eastAsia="Times New Roman" w:hAnsi="Times New Roman" w:cs="Times New Roman"/>
        </w:rPr>
        <w:t xml:space="preserve">recent research </w:t>
      </w:r>
      <w:r w:rsidR="00DA5E61" w:rsidRPr="008075A4">
        <w:rPr>
          <w:rFonts w:ascii="Times New Roman" w:eastAsia="Times New Roman" w:hAnsi="Times New Roman" w:cs="Times New Roman"/>
        </w:rPr>
        <w:t>reports</w:t>
      </w:r>
      <w:r w:rsidR="21B6557B" w:rsidRPr="008075A4">
        <w:rPr>
          <w:rFonts w:ascii="Times New Roman" w:eastAsia="Times New Roman" w:hAnsi="Times New Roman" w:cs="Times New Roman"/>
        </w:rPr>
        <w:t xml:space="preserve"> </w:t>
      </w:r>
      <w:r w:rsidR="00BB3F96" w:rsidRPr="008075A4">
        <w:rPr>
          <w:rFonts w:ascii="Times New Roman" w:eastAsia="Times New Roman" w:hAnsi="Times New Roman" w:cs="Times New Roman"/>
        </w:rPr>
        <w:t>that</w:t>
      </w:r>
      <w:r w:rsidR="00DA5E61" w:rsidRPr="008075A4">
        <w:rPr>
          <w:rFonts w:ascii="Times New Roman" w:eastAsia="Times New Roman" w:hAnsi="Times New Roman" w:cs="Times New Roman"/>
        </w:rPr>
        <w:t xml:space="preserve"> the number of programs has grown significantly over the last decade with </w:t>
      </w:r>
      <w:r w:rsidR="000B1273" w:rsidRPr="008075A4">
        <w:rPr>
          <w:rFonts w:ascii="Times New Roman" w:eastAsia="Times New Roman" w:hAnsi="Times New Roman" w:cs="Times New Roman"/>
        </w:rPr>
        <w:t xml:space="preserve">now over 200 credit-bearing postsecondary programs in corrections facilities around the country, </w:t>
      </w:r>
      <w:r w:rsidR="00DA5E61" w:rsidRPr="008075A4">
        <w:rPr>
          <w:rFonts w:ascii="Times New Roman" w:eastAsia="Times New Roman" w:hAnsi="Times New Roman" w:cs="Times New Roman"/>
        </w:rPr>
        <w:t>and</w:t>
      </w:r>
      <w:r w:rsidR="000B1273" w:rsidRPr="008075A4">
        <w:rPr>
          <w:rFonts w:ascii="Times New Roman" w:eastAsia="Times New Roman" w:hAnsi="Times New Roman" w:cs="Times New Roman"/>
        </w:rPr>
        <w:t xml:space="preserve"> </w:t>
      </w:r>
      <w:r w:rsidR="21B6557B" w:rsidRPr="008075A4">
        <w:rPr>
          <w:rFonts w:ascii="Times New Roman" w:eastAsia="Times New Roman" w:hAnsi="Times New Roman" w:cs="Times New Roman"/>
        </w:rPr>
        <w:t>each of the</w:t>
      </w:r>
      <w:r w:rsidR="00BB3F96" w:rsidRPr="008075A4">
        <w:rPr>
          <w:rFonts w:ascii="Times New Roman" w:eastAsia="Times New Roman" w:hAnsi="Times New Roman" w:cs="Times New Roman"/>
        </w:rPr>
        <w:t xml:space="preserve"> 50 states </w:t>
      </w:r>
      <w:r w:rsidR="000B1273" w:rsidRPr="008075A4">
        <w:rPr>
          <w:rFonts w:ascii="Times New Roman" w:eastAsia="Times New Roman" w:hAnsi="Times New Roman" w:cs="Times New Roman"/>
        </w:rPr>
        <w:t>reporting</w:t>
      </w:r>
      <w:r w:rsidR="00BB3F96" w:rsidRPr="008075A4">
        <w:rPr>
          <w:rFonts w:ascii="Times New Roman" w:eastAsia="Times New Roman" w:hAnsi="Times New Roman" w:cs="Times New Roman"/>
        </w:rPr>
        <w:t xml:space="preserve"> at least one facility </w:t>
      </w:r>
      <w:r w:rsidR="000B1273" w:rsidRPr="008075A4">
        <w:rPr>
          <w:rFonts w:ascii="Times New Roman" w:eastAsia="Times New Roman" w:hAnsi="Times New Roman" w:cs="Times New Roman"/>
        </w:rPr>
        <w:t>offering</w:t>
      </w:r>
      <w:r w:rsidR="31AC5A01" w:rsidRPr="008075A4">
        <w:rPr>
          <w:rFonts w:ascii="Times New Roman" w:eastAsia="Times New Roman" w:hAnsi="Times New Roman" w:cs="Times New Roman"/>
        </w:rPr>
        <w:t xml:space="preserve"> </w:t>
      </w:r>
      <w:r w:rsidR="00DA5E61" w:rsidRPr="008075A4">
        <w:rPr>
          <w:rFonts w:ascii="Times New Roman" w:eastAsia="Times New Roman" w:hAnsi="Times New Roman" w:cs="Times New Roman"/>
        </w:rPr>
        <w:t xml:space="preserve">a </w:t>
      </w:r>
      <w:r w:rsidR="00BB3F96" w:rsidRPr="008075A4">
        <w:rPr>
          <w:rFonts w:ascii="Times New Roman" w:eastAsia="Times New Roman" w:hAnsi="Times New Roman" w:cs="Times New Roman"/>
        </w:rPr>
        <w:t>higher education program</w:t>
      </w:r>
      <w:r w:rsidR="00B544C9" w:rsidRPr="008075A4">
        <w:rPr>
          <w:rFonts w:ascii="Times New Roman" w:eastAsia="Times New Roman" w:hAnsi="Times New Roman" w:cs="Times New Roman"/>
        </w:rPr>
        <w:t xml:space="preserve"> (Castro 2018)</w:t>
      </w:r>
      <w:r w:rsidR="00BB3F96" w:rsidRPr="008075A4">
        <w:rPr>
          <w:rFonts w:ascii="Times New Roman" w:eastAsia="Times New Roman" w:hAnsi="Times New Roman" w:cs="Times New Roman"/>
        </w:rPr>
        <w:t>.</w:t>
      </w:r>
      <w:r w:rsidR="001030D1" w:rsidRPr="008075A4">
        <w:rPr>
          <w:rFonts w:ascii="Times New Roman" w:eastAsia="Times New Roman" w:hAnsi="Times New Roman" w:cs="Times New Roman"/>
        </w:rPr>
        <w:t xml:space="preserve"> </w:t>
      </w:r>
      <w:r w:rsidR="00DC13E1" w:rsidRPr="008075A4">
        <w:rPr>
          <w:rFonts w:ascii="Times New Roman" w:eastAsia="Times New Roman" w:hAnsi="Times New Roman" w:cs="Times New Roman"/>
        </w:rPr>
        <w:t xml:space="preserve"> The reinstatement of Pell grants for incarcerated learners could be a significant tactic to </w:t>
      </w:r>
      <w:r w:rsidR="00992B0C" w:rsidRPr="008075A4">
        <w:rPr>
          <w:rFonts w:ascii="Times New Roman" w:eastAsia="Times New Roman" w:hAnsi="Times New Roman" w:cs="Times New Roman"/>
        </w:rPr>
        <w:t xml:space="preserve">expand access to such programs and effectively </w:t>
      </w:r>
      <w:r w:rsidR="00DC13E1" w:rsidRPr="008075A4">
        <w:rPr>
          <w:rFonts w:ascii="Times New Roman" w:eastAsia="Times New Roman" w:hAnsi="Times New Roman" w:cs="Times New Roman"/>
        </w:rPr>
        <w:t xml:space="preserve">address educational attainment equity gaps among today’s students. </w:t>
      </w:r>
    </w:p>
    <w:p w14:paraId="3F4B60E7" w14:textId="77777777" w:rsidR="002B4407" w:rsidRDefault="002B4407" w:rsidP="002B4407">
      <w:pPr>
        <w:rPr>
          <w:rFonts w:ascii="Times New Roman" w:eastAsia="Times New Roman" w:hAnsi="Times New Roman" w:cs="Times New Roman"/>
          <w:b/>
          <w:bCs/>
          <w:i/>
          <w:iCs/>
        </w:rPr>
      </w:pPr>
    </w:p>
    <w:p w14:paraId="0860B640" w14:textId="4EAC3275" w:rsidR="004C3B4A" w:rsidRPr="008075A4" w:rsidRDefault="00A353FD" w:rsidP="002B4407">
      <w:pPr>
        <w:rPr>
          <w:rFonts w:ascii="Times New Roman" w:eastAsia="Times New Roman" w:hAnsi="Times New Roman" w:cs="Times New Roman"/>
          <w:b/>
          <w:bCs/>
          <w:i/>
          <w:iCs/>
        </w:rPr>
      </w:pPr>
      <w:r w:rsidRPr="008075A4">
        <w:rPr>
          <w:rFonts w:ascii="Times New Roman" w:eastAsia="Times New Roman" w:hAnsi="Times New Roman" w:cs="Times New Roman"/>
          <w:b/>
          <w:bCs/>
          <w:i/>
          <w:iCs/>
        </w:rPr>
        <w:t>Moving Forward</w:t>
      </w:r>
    </w:p>
    <w:p w14:paraId="65AB1A44" w14:textId="37DE58F3" w:rsidR="002841E1" w:rsidRDefault="002841E1" w:rsidP="002B4407">
      <w:pPr>
        <w:ind w:firstLine="720"/>
        <w:rPr>
          <w:rFonts w:ascii="Times New Roman" w:eastAsia="Times New Roman" w:hAnsi="Times New Roman" w:cs="Times New Roman"/>
        </w:rPr>
      </w:pPr>
      <w:r w:rsidRPr="008075A4">
        <w:rPr>
          <w:rFonts w:ascii="Times New Roman" w:eastAsia="Times New Roman" w:hAnsi="Times New Roman" w:cs="Times New Roman"/>
        </w:rPr>
        <w:t>Ongoing discussions about HEA reauthorization have included the possibility of reinstating Pell for incarcerated learners, in no small part due to the attention that t</w:t>
      </w:r>
      <w:r w:rsidR="00353CA4" w:rsidRPr="008075A4">
        <w:rPr>
          <w:rFonts w:ascii="Times New Roman" w:eastAsia="Times New Roman" w:hAnsi="Times New Roman" w:cs="Times New Roman"/>
        </w:rPr>
        <w:t>he</w:t>
      </w:r>
      <w:r w:rsidR="001E52A5" w:rsidRPr="008075A4">
        <w:rPr>
          <w:rFonts w:ascii="Times New Roman" w:eastAsia="Times New Roman" w:hAnsi="Times New Roman" w:cs="Times New Roman"/>
        </w:rPr>
        <w:t xml:space="preserve"> Second Chance Pell pilot program</w:t>
      </w:r>
      <w:r w:rsidR="00353CA4" w:rsidRPr="008075A4">
        <w:rPr>
          <w:rFonts w:ascii="Times New Roman" w:eastAsia="Times New Roman" w:hAnsi="Times New Roman" w:cs="Times New Roman"/>
        </w:rPr>
        <w:t xml:space="preserve"> </w:t>
      </w:r>
      <w:r w:rsidRPr="008075A4">
        <w:rPr>
          <w:rFonts w:ascii="Times New Roman" w:eastAsia="Times New Roman" w:hAnsi="Times New Roman" w:cs="Times New Roman"/>
        </w:rPr>
        <w:t xml:space="preserve">has garnered across the country, </w:t>
      </w:r>
      <w:r w:rsidR="00C16393">
        <w:rPr>
          <w:rFonts w:ascii="Times New Roman" w:eastAsia="Times New Roman" w:hAnsi="Times New Roman" w:cs="Times New Roman"/>
        </w:rPr>
        <w:t>and</w:t>
      </w:r>
      <w:r w:rsidR="00C16393" w:rsidRPr="008075A4">
        <w:rPr>
          <w:rFonts w:ascii="Times New Roman" w:eastAsia="Times New Roman" w:hAnsi="Times New Roman" w:cs="Times New Roman"/>
        </w:rPr>
        <w:t xml:space="preserve"> </w:t>
      </w:r>
      <w:r w:rsidRPr="008075A4">
        <w:rPr>
          <w:rFonts w:ascii="Times New Roman" w:eastAsia="Times New Roman" w:hAnsi="Times New Roman" w:cs="Times New Roman"/>
        </w:rPr>
        <w:t xml:space="preserve">particularly within the beltway. </w:t>
      </w:r>
    </w:p>
    <w:p w14:paraId="05399D18" w14:textId="68072E7A" w:rsidR="00B960BE" w:rsidRDefault="00CA14C8" w:rsidP="002B4407">
      <w:pPr>
        <w:rPr>
          <w:rFonts w:ascii="Times New Roman" w:eastAsia="Times New Roman" w:hAnsi="Times New Roman" w:cs="Times New Roman"/>
        </w:rPr>
      </w:pPr>
      <w:r>
        <w:rPr>
          <w:rFonts w:ascii="Times New Roman" w:eastAsia="Times New Roman" w:hAnsi="Times New Roman" w:cs="Times New Roman"/>
        </w:rPr>
        <w:t>While</w:t>
      </w:r>
      <w:r w:rsidR="00B960BE" w:rsidRPr="002B4407">
        <w:rPr>
          <w:rFonts w:ascii="Times New Roman" w:eastAsia="Times New Roman" w:hAnsi="Times New Roman" w:cs="Times New Roman"/>
        </w:rPr>
        <w:t xml:space="preserve"> </w:t>
      </w:r>
      <w:r>
        <w:rPr>
          <w:rFonts w:ascii="Times New Roman" w:eastAsia="Times New Roman" w:hAnsi="Times New Roman" w:cs="Times New Roman"/>
        </w:rPr>
        <w:t>t</w:t>
      </w:r>
      <w:r w:rsidR="00B960BE" w:rsidRPr="002B4407">
        <w:rPr>
          <w:rFonts w:ascii="Times New Roman" w:eastAsia="Times New Roman" w:hAnsi="Times New Roman" w:cs="Times New Roman"/>
        </w:rPr>
        <w:t>he Promoting Real Opportunity, Success and Prosperity through Education Reform (PROSPER) Act, introduced in December 2017 by U.S. House Education and Workforce Committee Chairwoman, Rep. Virginia Foxx (R-NC) and Rep. Brett Guthrie (R-KY), chairman of the Higher Education and Workforce Development subcommittee</w:t>
      </w:r>
      <w:r>
        <w:rPr>
          <w:rFonts w:ascii="Times New Roman" w:eastAsia="Times New Roman" w:hAnsi="Times New Roman" w:cs="Times New Roman"/>
        </w:rPr>
        <w:t xml:space="preserve"> does not propose reinstating Pell access to this population, </w:t>
      </w:r>
      <w:r w:rsidR="00B960BE" w:rsidRPr="002B4407">
        <w:rPr>
          <w:rFonts w:ascii="Times New Roman" w:eastAsia="Times New Roman" w:hAnsi="Times New Roman" w:cs="Times New Roman"/>
        </w:rPr>
        <w:t>the Aim Higher Act, introduced in July 2018 by U.S. House Education and Workforce Committee Ranking Member Bobby Scott (D-VA)</w:t>
      </w:r>
      <w:r>
        <w:rPr>
          <w:rFonts w:ascii="Times New Roman" w:eastAsia="Times New Roman" w:hAnsi="Times New Roman" w:cs="Times New Roman"/>
        </w:rPr>
        <w:t xml:space="preserve"> </w:t>
      </w:r>
      <w:r w:rsidR="00444BF0" w:rsidRPr="002B4407">
        <w:rPr>
          <w:rFonts w:ascii="Times New Roman" w:eastAsia="Times New Roman" w:hAnsi="Times New Roman" w:cs="Times New Roman"/>
        </w:rPr>
        <w:t xml:space="preserve">repeals the 1994 provision banning </w:t>
      </w:r>
      <w:r w:rsidR="00C16393">
        <w:rPr>
          <w:rFonts w:ascii="Times New Roman" w:eastAsia="Times New Roman" w:hAnsi="Times New Roman" w:cs="Times New Roman"/>
        </w:rPr>
        <w:t xml:space="preserve">Pell </w:t>
      </w:r>
      <w:r>
        <w:rPr>
          <w:rFonts w:ascii="Times New Roman" w:eastAsia="Times New Roman" w:hAnsi="Times New Roman" w:cs="Times New Roman"/>
        </w:rPr>
        <w:t xml:space="preserve">access. </w:t>
      </w:r>
    </w:p>
    <w:p w14:paraId="7445CE6F" w14:textId="77777777" w:rsidR="00596DBC" w:rsidRDefault="00596DBC" w:rsidP="002B4407">
      <w:pPr>
        <w:rPr>
          <w:rFonts w:ascii="Times New Roman" w:eastAsia="Times New Roman" w:hAnsi="Times New Roman" w:cs="Times New Roman"/>
        </w:rPr>
      </w:pPr>
    </w:p>
    <w:p w14:paraId="4E853640" w14:textId="768EF41B" w:rsidR="00CA14C8" w:rsidRDefault="00CA14C8" w:rsidP="002B4407">
      <w:pPr>
        <w:ind w:firstLine="720"/>
        <w:rPr>
          <w:rFonts w:ascii="Times New Roman" w:eastAsia="Times New Roman" w:hAnsi="Times New Roman" w:cs="Times New Roman"/>
        </w:rPr>
      </w:pPr>
      <w:r>
        <w:rPr>
          <w:rFonts w:ascii="Times New Roman" w:eastAsia="Times New Roman" w:hAnsi="Times New Roman" w:cs="Times New Roman"/>
        </w:rPr>
        <w:t>In the Senate, however, there has been more bipartisan interest</w:t>
      </w:r>
      <w:r w:rsidRPr="008075A4">
        <w:rPr>
          <w:rFonts w:ascii="Times New Roman" w:eastAsia="Times New Roman" w:hAnsi="Times New Roman" w:cs="Times New Roman"/>
        </w:rPr>
        <w:t xml:space="preserve"> </w:t>
      </w:r>
      <w:r>
        <w:rPr>
          <w:rFonts w:ascii="Times New Roman" w:eastAsia="Times New Roman" w:hAnsi="Times New Roman" w:cs="Times New Roman"/>
        </w:rPr>
        <w:t>in Pell reinstatement for this population and members have expressed interest in the DOE</w:t>
      </w:r>
      <w:r w:rsidRPr="008075A4">
        <w:rPr>
          <w:rFonts w:ascii="Times New Roman" w:eastAsia="Times New Roman" w:hAnsi="Times New Roman" w:cs="Times New Roman"/>
        </w:rPr>
        <w:t xml:space="preserve"> pilot program </w:t>
      </w:r>
      <w:r>
        <w:rPr>
          <w:rFonts w:ascii="Times New Roman" w:eastAsia="Times New Roman" w:hAnsi="Times New Roman" w:cs="Times New Roman"/>
        </w:rPr>
        <w:t xml:space="preserve">as a </w:t>
      </w:r>
      <w:r w:rsidRPr="008075A4">
        <w:rPr>
          <w:rFonts w:ascii="Times New Roman" w:eastAsia="Times New Roman" w:hAnsi="Times New Roman" w:cs="Times New Roman"/>
        </w:rPr>
        <w:t>key opportunity to collect comprehensive data about the impact of higher education programs in prison and effectively inform legislative debate around</w:t>
      </w:r>
      <w:r>
        <w:rPr>
          <w:rFonts w:ascii="Times New Roman" w:eastAsia="Times New Roman" w:hAnsi="Times New Roman" w:cs="Times New Roman"/>
        </w:rPr>
        <w:t xml:space="preserve"> </w:t>
      </w:r>
      <w:r w:rsidRPr="008075A4">
        <w:rPr>
          <w:rFonts w:ascii="Times New Roman" w:eastAsia="Times New Roman" w:hAnsi="Times New Roman" w:cs="Times New Roman"/>
        </w:rPr>
        <w:t>lifting the ban (Green 2018).</w:t>
      </w:r>
      <w:r>
        <w:rPr>
          <w:rFonts w:ascii="Times New Roman" w:eastAsia="Times New Roman" w:hAnsi="Times New Roman" w:cs="Times New Roman"/>
        </w:rPr>
        <w:t xml:space="preserve"> For instance, in February 2018, </w:t>
      </w:r>
      <w:r w:rsidR="00C16393">
        <w:rPr>
          <w:rFonts w:ascii="Times New Roman" w:eastAsia="Times New Roman" w:hAnsi="Times New Roman" w:cs="Times New Roman"/>
        </w:rPr>
        <w:t xml:space="preserve">Senate HELP Committee </w:t>
      </w:r>
      <w:r>
        <w:rPr>
          <w:rFonts w:ascii="Times New Roman" w:eastAsia="Times New Roman" w:hAnsi="Times New Roman" w:cs="Times New Roman"/>
        </w:rPr>
        <w:t>Chairman Lamar Alexander (R-TN) and Ranking Member Patty Murray (D-WA) were individually cited in the media expressing interest in reconsidering Pell grants for incarcerated students</w:t>
      </w:r>
      <w:r w:rsidR="00111647">
        <w:rPr>
          <w:rFonts w:ascii="Times New Roman" w:eastAsia="Times New Roman" w:hAnsi="Times New Roman" w:cs="Times New Roman"/>
        </w:rPr>
        <w:t xml:space="preserve"> (Green 2018)</w:t>
      </w:r>
      <w:r>
        <w:rPr>
          <w:rFonts w:ascii="Times New Roman" w:eastAsia="Times New Roman" w:hAnsi="Times New Roman" w:cs="Times New Roman"/>
        </w:rPr>
        <w:t xml:space="preserve">. Both members cited an </w:t>
      </w:r>
      <w:r>
        <w:rPr>
          <w:rFonts w:ascii="Times New Roman" w:eastAsia="Times New Roman" w:hAnsi="Times New Roman" w:cs="Times New Roman"/>
        </w:rPr>
        <w:lastRenderedPageBreak/>
        <w:t xml:space="preserve">interest in setting incarcerated students up for success upon release and </w:t>
      </w:r>
      <w:r w:rsidR="0059263A">
        <w:rPr>
          <w:rFonts w:ascii="Times New Roman" w:eastAsia="Times New Roman" w:hAnsi="Times New Roman" w:cs="Times New Roman"/>
        </w:rPr>
        <w:t xml:space="preserve">the need for better data to inform policymakers about the efficacy of such educational opportunities. </w:t>
      </w:r>
    </w:p>
    <w:p w14:paraId="350D71EF" w14:textId="77777777" w:rsidR="00596DBC" w:rsidRPr="008075A4" w:rsidRDefault="00596DBC" w:rsidP="002B4407">
      <w:pPr>
        <w:ind w:firstLine="720"/>
        <w:rPr>
          <w:rFonts w:ascii="Times New Roman" w:eastAsia="Times New Roman" w:hAnsi="Times New Roman" w:cs="Times New Roman"/>
        </w:rPr>
      </w:pPr>
    </w:p>
    <w:p w14:paraId="7016D654" w14:textId="69EAFF31" w:rsidR="00156C86" w:rsidRDefault="0059263A" w:rsidP="002B4407">
      <w:pPr>
        <w:ind w:firstLine="720"/>
        <w:rPr>
          <w:rFonts w:ascii="Times New Roman" w:eastAsia="Times New Roman" w:hAnsi="Times New Roman" w:cs="Times New Roman"/>
        </w:rPr>
      </w:pPr>
      <w:r>
        <w:rPr>
          <w:rFonts w:ascii="Times New Roman" w:eastAsia="Times New Roman" w:hAnsi="Times New Roman" w:cs="Times New Roman"/>
        </w:rPr>
        <w:t>Similarly, i</w:t>
      </w:r>
      <w:r w:rsidR="001030D1" w:rsidRPr="008075A4">
        <w:rPr>
          <w:rFonts w:ascii="Times New Roman" w:eastAsia="Times New Roman" w:hAnsi="Times New Roman" w:cs="Times New Roman"/>
        </w:rPr>
        <w:t>n</w:t>
      </w:r>
      <w:r w:rsidR="00444BF0">
        <w:rPr>
          <w:rFonts w:ascii="Times New Roman" w:eastAsia="Times New Roman" w:hAnsi="Times New Roman" w:cs="Times New Roman"/>
        </w:rPr>
        <w:t xml:space="preserve"> the executive branch</w:t>
      </w:r>
      <w:r w:rsidR="001030D1" w:rsidRPr="008075A4">
        <w:rPr>
          <w:rFonts w:ascii="Times New Roman" w:eastAsia="Times New Roman" w:hAnsi="Times New Roman" w:cs="Times New Roman"/>
        </w:rPr>
        <w:t>,</w:t>
      </w:r>
      <w:r>
        <w:rPr>
          <w:rFonts w:ascii="Times New Roman" w:eastAsia="Times New Roman" w:hAnsi="Times New Roman" w:cs="Times New Roman"/>
        </w:rPr>
        <w:t xml:space="preserve"> Secretary Betsy DeVos has gone on the record calling the potential reinstatement of Pell grants for inmates a “very good and interesting possibility”</w:t>
      </w:r>
      <w:r w:rsidR="003F009D">
        <w:rPr>
          <w:rFonts w:ascii="Times New Roman" w:eastAsia="Times New Roman" w:hAnsi="Times New Roman" w:cs="Times New Roman"/>
        </w:rPr>
        <w:t xml:space="preserve"> (Green 2018)</w:t>
      </w:r>
      <w:r>
        <w:rPr>
          <w:rFonts w:ascii="Times New Roman" w:eastAsia="Times New Roman" w:hAnsi="Times New Roman" w:cs="Times New Roman"/>
        </w:rPr>
        <w:t xml:space="preserve"> and her own postsecondary advisors have expressed a renewed interest in examining data and learning about best practices in offering postsecondary opportunities incarcerated individuals</w:t>
      </w:r>
      <w:r w:rsidR="003F009D">
        <w:rPr>
          <w:rFonts w:ascii="Times New Roman" w:eastAsia="Times New Roman" w:hAnsi="Times New Roman" w:cs="Times New Roman"/>
        </w:rPr>
        <w:t xml:space="preserve"> (Kreighbaum 2018)</w:t>
      </w:r>
      <w:r>
        <w:rPr>
          <w:rFonts w:ascii="Times New Roman" w:eastAsia="Times New Roman" w:hAnsi="Times New Roman" w:cs="Times New Roman"/>
        </w:rPr>
        <w:t xml:space="preserve">. The department’s own </w:t>
      </w:r>
      <w:r w:rsidR="002841E1" w:rsidRPr="008075A4">
        <w:rPr>
          <w:rFonts w:ascii="Times New Roman" w:eastAsia="Times New Roman" w:hAnsi="Times New Roman" w:cs="Times New Roman"/>
        </w:rPr>
        <w:t xml:space="preserve">ESI </w:t>
      </w:r>
      <w:r w:rsidR="001030D1" w:rsidRPr="008075A4">
        <w:rPr>
          <w:rFonts w:ascii="Times New Roman" w:eastAsia="Times New Roman" w:hAnsi="Times New Roman" w:cs="Times New Roman"/>
        </w:rPr>
        <w:t xml:space="preserve">item inventory, </w:t>
      </w:r>
      <w:r w:rsidR="20D1CEA6" w:rsidRPr="008075A4">
        <w:rPr>
          <w:rFonts w:ascii="Times New Roman" w:eastAsia="Times New Roman" w:hAnsi="Times New Roman" w:cs="Times New Roman"/>
        </w:rPr>
        <w:t xml:space="preserve">which serves as </w:t>
      </w:r>
      <w:r w:rsidR="001030D1" w:rsidRPr="008075A4">
        <w:rPr>
          <w:rFonts w:ascii="Times New Roman" w:eastAsia="Times New Roman" w:hAnsi="Times New Roman" w:cs="Times New Roman"/>
        </w:rPr>
        <w:t xml:space="preserve">the basis upon which </w:t>
      </w:r>
      <w:r>
        <w:rPr>
          <w:rFonts w:ascii="Times New Roman" w:eastAsia="Times New Roman" w:hAnsi="Times New Roman" w:cs="Times New Roman"/>
        </w:rPr>
        <w:t>to evaluate ex-site programs like Second Chance Pell</w:t>
      </w:r>
      <w:r w:rsidR="001030D1" w:rsidRPr="008075A4">
        <w:rPr>
          <w:rFonts w:ascii="Times New Roman" w:eastAsia="Times New Roman" w:hAnsi="Times New Roman" w:cs="Times New Roman"/>
        </w:rPr>
        <w:t xml:space="preserve">, </w:t>
      </w:r>
      <w:r>
        <w:rPr>
          <w:rFonts w:ascii="Times New Roman" w:eastAsia="Times New Roman" w:hAnsi="Times New Roman" w:cs="Times New Roman"/>
        </w:rPr>
        <w:t>highlights the need for</w:t>
      </w:r>
      <w:r w:rsidR="001030D1" w:rsidRPr="008075A4">
        <w:rPr>
          <w:rFonts w:ascii="Times New Roman" w:eastAsia="Times New Roman" w:hAnsi="Times New Roman" w:cs="Times New Roman"/>
        </w:rPr>
        <w:t xml:space="preserve"> practitioners, researchers, and policymakers </w:t>
      </w:r>
      <w:r>
        <w:rPr>
          <w:rFonts w:ascii="Times New Roman" w:eastAsia="Times New Roman" w:hAnsi="Times New Roman" w:cs="Times New Roman"/>
        </w:rPr>
        <w:t xml:space="preserve">to </w:t>
      </w:r>
      <w:r w:rsidR="001030D1" w:rsidRPr="008075A4">
        <w:rPr>
          <w:rFonts w:ascii="Times New Roman" w:eastAsia="Times New Roman" w:hAnsi="Times New Roman" w:cs="Times New Roman"/>
        </w:rPr>
        <w:t>collect and analyz</w:t>
      </w:r>
      <w:r w:rsidR="2C50A4C2" w:rsidRPr="008075A4">
        <w:rPr>
          <w:rFonts w:ascii="Times New Roman" w:eastAsia="Times New Roman" w:hAnsi="Times New Roman" w:cs="Times New Roman"/>
        </w:rPr>
        <w:t>e</w:t>
      </w:r>
      <w:r w:rsidR="001030D1" w:rsidRPr="008075A4">
        <w:rPr>
          <w:rFonts w:ascii="Times New Roman" w:eastAsia="Times New Roman" w:hAnsi="Times New Roman" w:cs="Times New Roman"/>
        </w:rPr>
        <w:t xml:space="preserve"> data in a way that speaks to </w:t>
      </w:r>
      <w:r w:rsidR="1B7BF789" w:rsidRPr="008075A4">
        <w:rPr>
          <w:rFonts w:ascii="Times New Roman" w:eastAsia="Times New Roman" w:hAnsi="Times New Roman" w:cs="Times New Roman"/>
        </w:rPr>
        <w:t>both</w:t>
      </w:r>
      <w:r w:rsidR="00992B0C" w:rsidRPr="008075A4">
        <w:rPr>
          <w:rFonts w:ascii="Times New Roman" w:eastAsia="Times New Roman" w:hAnsi="Times New Roman" w:cs="Times New Roman"/>
        </w:rPr>
        <w:t xml:space="preserve"> program quality, student success, </w:t>
      </w:r>
      <w:r w:rsidR="1B7BF789" w:rsidRPr="008075A4">
        <w:rPr>
          <w:rFonts w:ascii="Times New Roman" w:eastAsia="Times New Roman" w:hAnsi="Times New Roman" w:cs="Times New Roman"/>
        </w:rPr>
        <w:t>and</w:t>
      </w:r>
      <w:r w:rsidR="001030D1" w:rsidRPr="008075A4">
        <w:rPr>
          <w:rFonts w:ascii="Times New Roman" w:eastAsia="Times New Roman" w:hAnsi="Times New Roman" w:cs="Times New Roman"/>
        </w:rPr>
        <w:t xml:space="preserve"> the nature of education as a transformative endeavor. The current “education in prison” </w:t>
      </w:r>
      <w:r w:rsidR="00D827EB" w:rsidRPr="008075A4">
        <w:rPr>
          <w:rFonts w:ascii="Times New Roman" w:eastAsia="Times New Roman" w:hAnsi="Times New Roman" w:cs="Times New Roman"/>
        </w:rPr>
        <w:t xml:space="preserve">research </w:t>
      </w:r>
      <w:r w:rsidR="001030D1" w:rsidRPr="008075A4">
        <w:rPr>
          <w:rFonts w:ascii="Times New Roman" w:eastAsia="Times New Roman" w:hAnsi="Times New Roman" w:cs="Times New Roman"/>
        </w:rPr>
        <w:t xml:space="preserve">paradigm rests squarely on the </w:t>
      </w:r>
      <w:r w:rsidR="3B05CE4B" w:rsidRPr="008075A4">
        <w:rPr>
          <w:rFonts w:ascii="Times New Roman" w:eastAsia="Times New Roman" w:hAnsi="Times New Roman" w:cs="Times New Roman"/>
        </w:rPr>
        <w:t xml:space="preserve">questions </w:t>
      </w:r>
      <w:r w:rsidR="001030D1" w:rsidRPr="008075A4">
        <w:rPr>
          <w:rFonts w:ascii="Times New Roman" w:eastAsia="Times New Roman" w:hAnsi="Times New Roman" w:cs="Times New Roman"/>
        </w:rPr>
        <w:t>of whether and to what extent education reduces recidivism.</w:t>
      </w:r>
      <w:r w:rsidR="008C1F83" w:rsidRPr="008075A4">
        <w:rPr>
          <w:rFonts w:ascii="Times New Roman" w:eastAsia="Times New Roman" w:hAnsi="Times New Roman" w:cs="Times New Roman"/>
        </w:rPr>
        <w:t xml:space="preserve"> </w:t>
      </w:r>
      <w:r w:rsidR="00F440ED" w:rsidRPr="008075A4">
        <w:rPr>
          <w:rFonts w:ascii="Times New Roman" w:eastAsia="Times New Roman" w:hAnsi="Times New Roman" w:cs="Times New Roman"/>
        </w:rPr>
        <w:t>While post-release</w:t>
      </w:r>
      <w:r w:rsidR="008C1F83" w:rsidRPr="008075A4">
        <w:rPr>
          <w:rFonts w:ascii="Times New Roman" w:eastAsia="Times New Roman" w:hAnsi="Times New Roman" w:cs="Times New Roman"/>
        </w:rPr>
        <w:t xml:space="preserve"> outcomes are</w:t>
      </w:r>
      <w:r w:rsidR="00F440ED" w:rsidRPr="008075A4">
        <w:rPr>
          <w:rFonts w:ascii="Times New Roman" w:eastAsia="Times New Roman" w:hAnsi="Times New Roman" w:cs="Times New Roman"/>
        </w:rPr>
        <w:t xml:space="preserve"> certainly</w:t>
      </w:r>
      <w:r w:rsidR="008C1F83" w:rsidRPr="008075A4">
        <w:rPr>
          <w:rFonts w:ascii="Times New Roman" w:eastAsia="Times New Roman" w:hAnsi="Times New Roman" w:cs="Times New Roman"/>
        </w:rPr>
        <w:t xml:space="preserve"> important to note</w:t>
      </w:r>
      <w:r w:rsidR="00F440ED" w:rsidRPr="008075A4">
        <w:rPr>
          <w:rFonts w:ascii="Times New Roman" w:eastAsia="Times New Roman" w:hAnsi="Times New Roman" w:cs="Times New Roman"/>
        </w:rPr>
        <w:t xml:space="preserve"> from an accountability perspective, </w:t>
      </w:r>
      <w:r w:rsidR="00C16393">
        <w:rPr>
          <w:rFonts w:ascii="Times New Roman" w:eastAsia="Times New Roman" w:hAnsi="Times New Roman" w:cs="Times New Roman"/>
        </w:rPr>
        <w:t>relevant</w:t>
      </w:r>
      <w:r w:rsidR="00C16393" w:rsidRPr="008075A4">
        <w:rPr>
          <w:rFonts w:ascii="Times New Roman" w:eastAsia="Times New Roman" w:hAnsi="Times New Roman" w:cs="Times New Roman"/>
        </w:rPr>
        <w:t xml:space="preserve"> </w:t>
      </w:r>
      <w:r w:rsidR="00F440ED" w:rsidRPr="008075A4">
        <w:rPr>
          <w:rFonts w:ascii="Times New Roman" w:eastAsia="Times New Roman" w:hAnsi="Times New Roman" w:cs="Times New Roman"/>
        </w:rPr>
        <w:t>outcomes must be defined beyond public safety.</w:t>
      </w:r>
      <w:r w:rsidR="008C1F83" w:rsidRPr="008075A4">
        <w:rPr>
          <w:rFonts w:ascii="Times New Roman" w:eastAsia="Times New Roman" w:hAnsi="Times New Roman" w:cs="Times New Roman"/>
        </w:rPr>
        <w:t xml:space="preserve"> </w:t>
      </w:r>
      <w:r w:rsidR="00F440ED" w:rsidRPr="008075A4">
        <w:rPr>
          <w:rFonts w:ascii="Times New Roman" w:eastAsia="Times New Roman" w:hAnsi="Times New Roman" w:cs="Times New Roman"/>
        </w:rPr>
        <w:t>In broader postsecondary education, for instance,</w:t>
      </w:r>
      <w:r w:rsidR="008C1F83" w:rsidRPr="008075A4">
        <w:rPr>
          <w:rFonts w:ascii="Times New Roman" w:eastAsia="Times New Roman" w:hAnsi="Times New Roman" w:cs="Times New Roman"/>
        </w:rPr>
        <w:t xml:space="preserve"> </w:t>
      </w:r>
      <w:r w:rsidR="00156C86" w:rsidRPr="008075A4">
        <w:rPr>
          <w:rFonts w:ascii="Times New Roman" w:eastAsia="Times New Roman" w:hAnsi="Times New Roman" w:cs="Times New Roman"/>
        </w:rPr>
        <w:t xml:space="preserve">outcomes might include employment, </w:t>
      </w:r>
      <w:r w:rsidR="003A6548" w:rsidRPr="008075A4">
        <w:rPr>
          <w:rFonts w:ascii="Times New Roman" w:eastAsia="Times New Roman" w:hAnsi="Times New Roman" w:cs="Times New Roman"/>
        </w:rPr>
        <w:t xml:space="preserve">civic engagement, </w:t>
      </w:r>
      <w:r w:rsidR="008C1F83" w:rsidRPr="008075A4">
        <w:rPr>
          <w:rFonts w:ascii="Times New Roman" w:eastAsia="Times New Roman" w:hAnsi="Times New Roman" w:cs="Times New Roman"/>
        </w:rPr>
        <w:t>leadership</w:t>
      </w:r>
      <w:r w:rsidR="005B7D22" w:rsidRPr="008075A4">
        <w:rPr>
          <w:rFonts w:ascii="Times New Roman" w:eastAsia="Times New Roman" w:hAnsi="Times New Roman" w:cs="Times New Roman"/>
        </w:rPr>
        <w:t xml:space="preserve"> role</w:t>
      </w:r>
      <w:r w:rsidR="00156C86" w:rsidRPr="008075A4">
        <w:rPr>
          <w:rFonts w:ascii="Times New Roman" w:eastAsia="Times New Roman" w:hAnsi="Times New Roman" w:cs="Times New Roman"/>
        </w:rPr>
        <w:t xml:space="preserve">s, </w:t>
      </w:r>
      <w:r w:rsidR="00310D95" w:rsidRPr="008075A4">
        <w:rPr>
          <w:rFonts w:ascii="Times New Roman" w:eastAsia="Times New Roman" w:hAnsi="Times New Roman" w:cs="Times New Roman"/>
        </w:rPr>
        <w:t>and</w:t>
      </w:r>
      <w:r w:rsidR="00156C86" w:rsidRPr="008075A4">
        <w:rPr>
          <w:rFonts w:ascii="Times New Roman" w:eastAsia="Times New Roman" w:hAnsi="Times New Roman" w:cs="Times New Roman"/>
        </w:rPr>
        <w:t xml:space="preserve"> </w:t>
      </w:r>
      <w:r w:rsidR="003A6548" w:rsidRPr="008075A4">
        <w:rPr>
          <w:rFonts w:ascii="Times New Roman" w:eastAsia="Times New Roman" w:hAnsi="Times New Roman" w:cs="Times New Roman"/>
        </w:rPr>
        <w:t>even</w:t>
      </w:r>
      <w:r w:rsidR="00156C86" w:rsidRPr="008075A4">
        <w:rPr>
          <w:rFonts w:ascii="Times New Roman" w:eastAsia="Times New Roman" w:hAnsi="Times New Roman" w:cs="Times New Roman"/>
        </w:rPr>
        <w:t xml:space="preserve"> </w:t>
      </w:r>
      <w:r w:rsidR="005B7D22" w:rsidRPr="008075A4">
        <w:rPr>
          <w:rFonts w:ascii="Times New Roman" w:eastAsia="Times New Roman" w:hAnsi="Times New Roman" w:cs="Times New Roman"/>
        </w:rPr>
        <w:t>post-graduation income</w:t>
      </w:r>
      <w:r w:rsidR="00156C86" w:rsidRPr="008075A4">
        <w:rPr>
          <w:rFonts w:ascii="Times New Roman" w:eastAsia="Times New Roman" w:hAnsi="Times New Roman" w:cs="Times New Roman"/>
        </w:rPr>
        <w:t xml:space="preserve"> and earnings</w:t>
      </w:r>
      <w:r w:rsidR="005B7D22" w:rsidRPr="008075A4">
        <w:rPr>
          <w:rFonts w:ascii="Times New Roman" w:eastAsia="Times New Roman" w:hAnsi="Times New Roman" w:cs="Times New Roman"/>
        </w:rPr>
        <w:t xml:space="preserve"> data to </w:t>
      </w:r>
      <w:r w:rsidR="0FB0A915" w:rsidRPr="008075A4">
        <w:rPr>
          <w:rFonts w:ascii="Times New Roman" w:eastAsia="Times New Roman" w:hAnsi="Times New Roman" w:cs="Times New Roman"/>
        </w:rPr>
        <w:t>contemplate</w:t>
      </w:r>
      <w:r w:rsidR="005B7D22" w:rsidRPr="008075A4">
        <w:rPr>
          <w:rFonts w:ascii="Times New Roman" w:eastAsia="Times New Roman" w:hAnsi="Times New Roman" w:cs="Times New Roman"/>
        </w:rPr>
        <w:t xml:space="preserve"> return on investment </w:t>
      </w:r>
      <w:r w:rsidR="0FB0A915" w:rsidRPr="008075A4">
        <w:rPr>
          <w:rFonts w:ascii="Times New Roman" w:eastAsia="Times New Roman" w:hAnsi="Times New Roman" w:cs="Times New Roman"/>
        </w:rPr>
        <w:t xml:space="preserve">for </w:t>
      </w:r>
      <w:r w:rsidR="005B7D22" w:rsidRPr="008075A4">
        <w:rPr>
          <w:rFonts w:ascii="Times New Roman" w:eastAsia="Times New Roman" w:hAnsi="Times New Roman" w:cs="Times New Roman"/>
        </w:rPr>
        <w:t xml:space="preserve">certain majors and programs. </w:t>
      </w:r>
    </w:p>
    <w:p w14:paraId="5FD8B02B" w14:textId="77777777" w:rsidR="00596DBC" w:rsidRPr="008075A4" w:rsidRDefault="00596DBC" w:rsidP="002B4407">
      <w:pPr>
        <w:ind w:firstLine="720"/>
        <w:rPr>
          <w:rFonts w:ascii="Times New Roman" w:eastAsia="Times New Roman" w:hAnsi="Times New Roman" w:cs="Times New Roman"/>
        </w:rPr>
      </w:pPr>
    </w:p>
    <w:p w14:paraId="610A2B06" w14:textId="2FBCA025" w:rsidR="00BB3F96" w:rsidRDefault="00156C86" w:rsidP="002B4407">
      <w:pPr>
        <w:ind w:firstLine="720"/>
        <w:rPr>
          <w:rFonts w:ascii="Times New Roman" w:eastAsia="Times New Roman" w:hAnsi="Times New Roman" w:cs="Times New Roman"/>
        </w:rPr>
      </w:pPr>
      <w:r w:rsidRPr="008075A4">
        <w:rPr>
          <w:rFonts w:ascii="Times New Roman" w:eastAsia="Times New Roman" w:hAnsi="Times New Roman" w:cs="Times New Roman"/>
        </w:rPr>
        <w:t>A</w:t>
      </w:r>
      <w:r w:rsidR="005B7D22" w:rsidRPr="008075A4">
        <w:rPr>
          <w:rFonts w:ascii="Times New Roman" w:eastAsia="Times New Roman" w:hAnsi="Times New Roman" w:cs="Times New Roman"/>
        </w:rPr>
        <w:t xml:space="preserve"> narrow focus on</w:t>
      </w:r>
      <w:r w:rsidRPr="008075A4">
        <w:rPr>
          <w:rFonts w:ascii="Times New Roman" w:eastAsia="Times New Roman" w:hAnsi="Times New Roman" w:cs="Times New Roman"/>
        </w:rPr>
        <w:t xml:space="preserve"> </w:t>
      </w:r>
      <w:r w:rsidR="00C16393">
        <w:rPr>
          <w:rFonts w:ascii="Times New Roman" w:eastAsia="Times New Roman" w:hAnsi="Times New Roman" w:cs="Times New Roman"/>
        </w:rPr>
        <w:t>recidivism reduction</w:t>
      </w:r>
      <w:r w:rsidR="005B7D22" w:rsidRPr="008075A4">
        <w:rPr>
          <w:rFonts w:ascii="Times New Roman" w:eastAsia="Times New Roman" w:hAnsi="Times New Roman" w:cs="Times New Roman"/>
        </w:rPr>
        <w:t xml:space="preserve"> </w:t>
      </w:r>
      <w:r w:rsidRPr="008075A4">
        <w:rPr>
          <w:rFonts w:ascii="Times New Roman" w:eastAsia="Times New Roman" w:hAnsi="Times New Roman" w:cs="Times New Roman"/>
        </w:rPr>
        <w:t>as the ultimate objective of a higher education program in prison</w:t>
      </w:r>
      <w:r w:rsidR="005B7D22" w:rsidRPr="008075A4">
        <w:rPr>
          <w:rFonts w:ascii="Times New Roman" w:eastAsia="Times New Roman" w:hAnsi="Times New Roman" w:cs="Times New Roman"/>
        </w:rPr>
        <w:t xml:space="preserve"> ignores the complexity of recidivism as a composite variable. In the same way that socioeconomic status is a combination of a number of variables (i.e. individual income, parent educational level, zip code, individual educational attainment, etc.), so, too, is recidivism a combination of </w:t>
      </w:r>
      <w:r w:rsidR="0FB0A915" w:rsidRPr="008075A4">
        <w:rPr>
          <w:rFonts w:ascii="Times New Roman" w:eastAsia="Times New Roman" w:hAnsi="Times New Roman" w:cs="Times New Roman"/>
        </w:rPr>
        <w:t xml:space="preserve">variables such as </w:t>
      </w:r>
      <w:r w:rsidR="005B7D22" w:rsidRPr="008075A4">
        <w:rPr>
          <w:rFonts w:ascii="Times New Roman" w:eastAsia="Times New Roman" w:hAnsi="Times New Roman" w:cs="Times New Roman"/>
        </w:rPr>
        <w:t>access to housing, the extent of employment discrimination,</w:t>
      </w:r>
      <w:r w:rsidRPr="008075A4">
        <w:rPr>
          <w:rFonts w:ascii="Times New Roman" w:eastAsia="Times New Roman" w:hAnsi="Times New Roman" w:cs="Times New Roman"/>
        </w:rPr>
        <w:t xml:space="preserve"> availability of mental health services,</w:t>
      </w:r>
      <w:r w:rsidR="005B7D22" w:rsidRPr="008075A4">
        <w:rPr>
          <w:rFonts w:ascii="Times New Roman" w:eastAsia="Times New Roman" w:hAnsi="Times New Roman" w:cs="Times New Roman"/>
        </w:rPr>
        <w:t xml:space="preserve"> access to public assistance, and other collateral consequences not currently </w:t>
      </w:r>
      <w:r w:rsidR="00E46CD2" w:rsidRPr="008075A4">
        <w:rPr>
          <w:rFonts w:ascii="Times New Roman" w:eastAsia="Times New Roman" w:hAnsi="Times New Roman" w:cs="Times New Roman"/>
        </w:rPr>
        <w:t>under</w:t>
      </w:r>
      <w:r w:rsidR="005B7D22" w:rsidRPr="008075A4">
        <w:rPr>
          <w:rFonts w:ascii="Times New Roman" w:eastAsia="Times New Roman" w:hAnsi="Times New Roman" w:cs="Times New Roman"/>
        </w:rPr>
        <w:t xml:space="preserve"> the pris</w:t>
      </w:r>
      <w:r w:rsidR="006B64D6" w:rsidRPr="008075A4">
        <w:rPr>
          <w:rFonts w:ascii="Times New Roman" w:eastAsia="Times New Roman" w:hAnsi="Times New Roman" w:cs="Times New Roman"/>
        </w:rPr>
        <w:t xml:space="preserve">on education research umbrella. </w:t>
      </w:r>
      <w:r w:rsidR="00C16393" w:rsidRPr="008075A4">
        <w:rPr>
          <w:rFonts w:ascii="Times New Roman" w:eastAsia="Times New Roman" w:hAnsi="Times New Roman" w:cs="Times New Roman"/>
        </w:rPr>
        <w:t>To</w:t>
      </w:r>
      <w:r w:rsidR="006B64D6" w:rsidRPr="008075A4">
        <w:rPr>
          <w:rFonts w:ascii="Times New Roman" w:eastAsia="Times New Roman" w:hAnsi="Times New Roman" w:cs="Times New Roman"/>
        </w:rPr>
        <w:t xml:space="preserve"> broaden the context within which we think about and define program success, </w:t>
      </w:r>
      <w:r w:rsidR="00E23CB1" w:rsidRPr="008075A4">
        <w:rPr>
          <w:rFonts w:ascii="Times New Roman" w:eastAsia="Times New Roman" w:hAnsi="Times New Roman" w:cs="Times New Roman"/>
        </w:rPr>
        <w:t xml:space="preserve">and ultimately how we embed access for this population into HEA reauthorization, </w:t>
      </w:r>
      <w:r w:rsidR="006B64D6" w:rsidRPr="008075A4">
        <w:rPr>
          <w:rFonts w:ascii="Times New Roman" w:eastAsia="Times New Roman" w:hAnsi="Times New Roman" w:cs="Times New Roman"/>
        </w:rPr>
        <w:t>we must advocate for rigorous evaluation and nuanced analysis that properly re</w:t>
      </w:r>
      <w:r w:rsidR="00ED3C40" w:rsidRPr="008075A4">
        <w:rPr>
          <w:rFonts w:ascii="Times New Roman" w:eastAsia="Times New Roman" w:hAnsi="Times New Roman" w:cs="Times New Roman"/>
        </w:rPr>
        <w:t>-</w:t>
      </w:r>
      <w:r w:rsidR="006B64D6" w:rsidRPr="008075A4">
        <w:rPr>
          <w:rFonts w:ascii="Times New Roman" w:eastAsia="Times New Roman" w:hAnsi="Times New Roman" w:cs="Times New Roman"/>
        </w:rPr>
        <w:t>contextualizes performance indicators for confined learners</w:t>
      </w:r>
      <w:r w:rsidR="00B04D1C" w:rsidRPr="008075A4">
        <w:rPr>
          <w:rFonts w:ascii="Times New Roman" w:eastAsia="Times New Roman" w:hAnsi="Times New Roman" w:cs="Times New Roman"/>
        </w:rPr>
        <w:t xml:space="preserve"> and embeds </w:t>
      </w:r>
      <w:r w:rsidR="009616E6" w:rsidRPr="008075A4">
        <w:rPr>
          <w:rFonts w:ascii="Times New Roman" w:eastAsia="Times New Roman" w:hAnsi="Times New Roman" w:cs="Times New Roman"/>
        </w:rPr>
        <w:t>their needs</w:t>
      </w:r>
      <w:r w:rsidR="00B04D1C" w:rsidRPr="008075A4">
        <w:rPr>
          <w:rFonts w:ascii="Times New Roman" w:eastAsia="Times New Roman" w:hAnsi="Times New Roman" w:cs="Times New Roman"/>
        </w:rPr>
        <w:t xml:space="preserve"> in the equity lexicon</w:t>
      </w:r>
      <w:r w:rsidR="006B64D6" w:rsidRPr="008075A4">
        <w:rPr>
          <w:rFonts w:ascii="Times New Roman" w:eastAsia="Times New Roman" w:hAnsi="Times New Roman" w:cs="Times New Roman"/>
        </w:rPr>
        <w:t>.</w:t>
      </w:r>
      <w:r w:rsidR="00A63E07" w:rsidRPr="008075A4">
        <w:rPr>
          <w:rFonts w:ascii="Times New Roman" w:eastAsia="Times New Roman" w:hAnsi="Times New Roman" w:cs="Times New Roman"/>
        </w:rPr>
        <w:t xml:space="preserve"> </w:t>
      </w:r>
      <w:r w:rsidR="791D94C4" w:rsidRPr="008075A4">
        <w:rPr>
          <w:rFonts w:ascii="Times New Roman" w:eastAsia="Times New Roman" w:hAnsi="Times New Roman" w:cs="Times New Roman"/>
        </w:rPr>
        <w:t>T</w:t>
      </w:r>
      <w:r w:rsidR="00A63E07" w:rsidRPr="008075A4">
        <w:rPr>
          <w:rFonts w:ascii="Times New Roman" w:eastAsia="Times New Roman" w:hAnsi="Times New Roman" w:cs="Times New Roman"/>
        </w:rPr>
        <w:t>his nuanced understanding of the impact of higher education programs in prison</w:t>
      </w:r>
      <w:r w:rsidR="002B5482" w:rsidRPr="008075A4">
        <w:rPr>
          <w:rFonts w:ascii="Times New Roman" w:eastAsia="Times New Roman" w:hAnsi="Times New Roman" w:cs="Times New Roman"/>
        </w:rPr>
        <w:t xml:space="preserve"> has the potential to align itself </w:t>
      </w:r>
      <w:r w:rsidR="001E1C04" w:rsidRPr="008075A4">
        <w:rPr>
          <w:rFonts w:ascii="Times New Roman" w:eastAsia="Times New Roman" w:hAnsi="Times New Roman" w:cs="Times New Roman"/>
        </w:rPr>
        <w:t xml:space="preserve">well </w:t>
      </w:r>
      <w:r w:rsidR="002B5482" w:rsidRPr="008075A4">
        <w:rPr>
          <w:rFonts w:ascii="Times New Roman" w:eastAsia="Times New Roman" w:hAnsi="Times New Roman" w:cs="Times New Roman"/>
        </w:rPr>
        <w:t>with</w:t>
      </w:r>
      <w:r w:rsidR="001E1C04" w:rsidRPr="008075A4">
        <w:rPr>
          <w:rFonts w:ascii="Times New Roman" w:eastAsia="Times New Roman" w:hAnsi="Times New Roman" w:cs="Times New Roman"/>
        </w:rPr>
        <w:t>in</w:t>
      </w:r>
      <w:r w:rsidR="002B5482" w:rsidRPr="008075A4">
        <w:rPr>
          <w:rFonts w:ascii="Times New Roman" w:eastAsia="Times New Roman" w:hAnsi="Times New Roman" w:cs="Times New Roman"/>
        </w:rPr>
        <w:t xml:space="preserve"> the initial goals of the HEA and the ethos unde</w:t>
      </w:r>
      <w:r w:rsidR="00ED3C40" w:rsidRPr="008075A4">
        <w:rPr>
          <w:rFonts w:ascii="Times New Roman" w:eastAsia="Times New Roman" w:hAnsi="Times New Roman" w:cs="Times New Roman"/>
        </w:rPr>
        <w:t>rgirding the existence of Pell g</w:t>
      </w:r>
      <w:r w:rsidR="002B5482" w:rsidRPr="008075A4">
        <w:rPr>
          <w:rFonts w:ascii="Times New Roman" w:eastAsia="Times New Roman" w:hAnsi="Times New Roman" w:cs="Times New Roman"/>
        </w:rPr>
        <w:t>rants.</w:t>
      </w:r>
    </w:p>
    <w:p w14:paraId="16EB535D" w14:textId="77777777" w:rsidR="00596DBC" w:rsidRPr="008075A4" w:rsidRDefault="00596DBC" w:rsidP="002B4407">
      <w:pPr>
        <w:ind w:firstLine="720"/>
        <w:rPr>
          <w:rFonts w:ascii="Times New Roman" w:eastAsia="Times New Roman" w:hAnsi="Times New Roman" w:cs="Times New Roman"/>
        </w:rPr>
      </w:pPr>
    </w:p>
    <w:p w14:paraId="19AE1311" w14:textId="05AECDA5" w:rsidR="00077C0C" w:rsidRDefault="002B5482" w:rsidP="002B4407">
      <w:pPr>
        <w:spacing w:after="160" w:line="259" w:lineRule="auto"/>
        <w:ind w:firstLine="720"/>
        <w:rPr>
          <w:rFonts w:ascii="Times New Roman" w:eastAsia="Times New Roman" w:hAnsi="Times New Roman" w:cs="Times New Roman"/>
        </w:rPr>
      </w:pPr>
      <w:r w:rsidRPr="008075A4">
        <w:rPr>
          <w:rFonts w:ascii="Times New Roman" w:eastAsia="Times New Roman" w:hAnsi="Times New Roman" w:cs="Times New Roman"/>
        </w:rPr>
        <w:t>Sen.</w:t>
      </w:r>
      <w:r w:rsidR="003D3228" w:rsidRPr="008075A4">
        <w:rPr>
          <w:rFonts w:ascii="Times New Roman" w:eastAsia="Times New Roman" w:hAnsi="Times New Roman" w:cs="Times New Roman"/>
        </w:rPr>
        <w:t xml:space="preserve"> Pell’s passion for access and the removal of barriers </w:t>
      </w:r>
      <w:r w:rsidR="00F56A47" w:rsidRPr="008075A4">
        <w:rPr>
          <w:rFonts w:ascii="Times New Roman" w:eastAsia="Times New Roman" w:hAnsi="Times New Roman" w:cs="Times New Roman"/>
        </w:rPr>
        <w:t>to postsecondary education ha</w:t>
      </w:r>
      <w:r w:rsidR="17F2AE04" w:rsidRPr="008075A4">
        <w:rPr>
          <w:rFonts w:ascii="Times New Roman" w:eastAsia="Times New Roman" w:hAnsi="Times New Roman" w:cs="Times New Roman"/>
        </w:rPr>
        <w:t>s</w:t>
      </w:r>
      <w:r w:rsidR="00F56A47" w:rsidRPr="008075A4">
        <w:rPr>
          <w:rFonts w:ascii="Times New Roman" w:eastAsia="Times New Roman" w:hAnsi="Times New Roman" w:cs="Times New Roman"/>
        </w:rPr>
        <w:t xml:space="preserve"> provided millions of students with the opportunity to realize their college dreams</w:t>
      </w:r>
      <w:r w:rsidR="007E4B30" w:rsidRPr="008075A4">
        <w:rPr>
          <w:rFonts w:ascii="Times New Roman" w:eastAsia="Times New Roman" w:hAnsi="Times New Roman" w:cs="Times New Roman"/>
        </w:rPr>
        <w:t>. Given his original advocacy for</w:t>
      </w:r>
      <w:r w:rsidR="471CEDEF" w:rsidRPr="008075A4">
        <w:rPr>
          <w:rFonts w:ascii="Times New Roman" w:eastAsia="Times New Roman" w:hAnsi="Times New Roman" w:cs="Times New Roman"/>
        </w:rPr>
        <w:t xml:space="preserve"> </w:t>
      </w:r>
      <w:r w:rsidR="00F56A47" w:rsidRPr="008075A4">
        <w:rPr>
          <w:rFonts w:ascii="Times New Roman" w:eastAsia="Times New Roman" w:hAnsi="Times New Roman" w:cs="Times New Roman"/>
        </w:rPr>
        <w:t>Pell</w:t>
      </w:r>
      <w:r w:rsidR="007A25DC" w:rsidRPr="008075A4">
        <w:rPr>
          <w:rFonts w:ascii="Times New Roman" w:eastAsia="Times New Roman" w:hAnsi="Times New Roman" w:cs="Times New Roman"/>
        </w:rPr>
        <w:t xml:space="preserve"> funds</w:t>
      </w:r>
      <w:r w:rsidR="00F56A47" w:rsidRPr="008075A4">
        <w:rPr>
          <w:rFonts w:ascii="Times New Roman" w:eastAsia="Times New Roman" w:hAnsi="Times New Roman" w:cs="Times New Roman"/>
        </w:rPr>
        <w:t xml:space="preserve"> to remain accessible to incarcerated people</w:t>
      </w:r>
      <w:r w:rsidR="007E4B30" w:rsidRPr="008075A4">
        <w:rPr>
          <w:rFonts w:ascii="Times New Roman" w:eastAsia="Times New Roman" w:hAnsi="Times New Roman" w:cs="Times New Roman"/>
        </w:rPr>
        <w:t xml:space="preserve">, it seems that these financial aid mechanisms were in fact designed precisely to increase access to the communities that the 1994 ban excluded from receiving these benefits. </w:t>
      </w:r>
      <w:r w:rsidR="00C51E79" w:rsidRPr="008075A4">
        <w:rPr>
          <w:rFonts w:ascii="Times New Roman" w:eastAsia="Times New Roman" w:hAnsi="Times New Roman" w:cs="Times New Roman"/>
        </w:rPr>
        <w:t>As HEA reauthorization conversations</w:t>
      </w:r>
      <w:r w:rsidR="00610454" w:rsidRPr="008075A4">
        <w:rPr>
          <w:rFonts w:ascii="Times New Roman" w:eastAsia="Times New Roman" w:hAnsi="Times New Roman" w:cs="Times New Roman"/>
        </w:rPr>
        <w:t xml:space="preserve"> continue to</w:t>
      </w:r>
      <w:r w:rsidR="00C51E79" w:rsidRPr="008075A4">
        <w:rPr>
          <w:rFonts w:ascii="Times New Roman" w:eastAsia="Times New Roman" w:hAnsi="Times New Roman" w:cs="Times New Roman"/>
        </w:rPr>
        <w:t xml:space="preserve"> </w:t>
      </w:r>
      <w:r w:rsidR="00610454" w:rsidRPr="008075A4">
        <w:rPr>
          <w:rFonts w:ascii="Times New Roman" w:eastAsia="Times New Roman" w:hAnsi="Times New Roman" w:cs="Times New Roman"/>
        </w:rPr>
        <w:t>debate reinstating Pell grants for incarcerated students</w:t>
      </w:r>
      <w:r w:rsidR="00D06D2A" w:rsidRPr="008075A4">
        <w:rPr>
          <w:rFonts w:ascii="Times New Roman" w:eastAsia="Times New Roman" w:hAnsi="Times New Roman" w:cs="Times New Roman"/>
        </w:rPr>
        <w:t xml:space="preserve">, </w:t>
      </w:r>
      <w:r w:rsidR="00610454" w:rsidRPr="008075A4">
        <w:rPr>
          <w:rFonts w:ascii="Times New Roman" w:eastAsia="Times New Roman" w:hAnsi="Times New Roman" w:cs="Times New Roman"/>
        </w:rPr>
        <w:t>we must remind ourselves about the transformative power of postsecondary education in this country and the original intent behind 1965’s legislation that sought to open these opportunities to otherwise marginalized populations.</w:t>
      </w:r>
      <w:r w:rsidR="00ED47AB" w:rsidRPr="008075A4">
        <w:rPr>
          <w:rFonts w:ascii="Times New Roman" w:eastAsia="Times New Roman" w:hAnsi="Times New Roman" w:cs="Times New Roman"/>
        </w:rPr>
        <w:t xml:space="preserve"> </w:t>
      </w:r>
      <w:r w:rsidR="008075A4">
        <w:rPr>
          <w:rFonts w:ascii="Times New Roman" w:eastAsia="Times New Roman" w:hAnsi="Times New Roman" w:cs="Times New Roman"/>
        </w:rPr>
        <w:t xml:space="preserve">To that end, </w:t>
      </w:r>
      <w:r w:rsidR="005B5336">
        <w:rPr>
          <w:rFonts w:ascii="Times New Roman" w:eastAsia="Times New Roman" w:hAnsi="Times New Roman" w:cs="Times New Roman"/>
        </w:rPr>
        <w:t>we</w:t>
      </w:r>
      <w:r w:rsidR="008075A4">
        <w:rPr>
          <w:rFonts w:ascii="Times New Roman" w:eastAsia="Times New Roman" w:hAnsi="Times New Roman" w:cs="Times New Roman"/>
        </w:rPr>
        <w:t xml:space="preserve"> </w:t>
      </w:r>
      <w:r w:rsidR="005B5336">
        <w:rPr>
          <w:rFonts w:ascii="Times New Roman" w:eastAsia="Times New Roman" w:hAnsi="Times New Roman" w:cs="Times New Roman"/>
        </w:rPr>
        <w:t>recommend</w:t>
      </w:r>
      <w:r w:rsidR="008075A4">
        <w:rPr>
          <w:rFonts w:ascii="Times New Roman" w:eastAsia="Times New Roman" w:hAnsi="Times New Roman" w:cs="Times New Roman"/>
        </w:rPr>
        <w:t xml:space="preserve"> a close and critical conversation around the ways in which Pell Grant access for incarcerated students can and should be structured </w:t>
      </w:r>
      <w:r w:rsidR="00513B3D">
        <w:rPr>
          <w:rFonts w:ascii="Times New Roman" w:eastAsia="Times New Roman" w:hAnsi="Times New Roman" w:cs="Times New Roman"/>
        </w:rPr>
        <w:t>to</w:t>
      </w:r>
      <w:r w:rsidR="008075A4">
        <w:rPr>
          <w:rFonts w:ascii="Times New Roman" w:eastAsia="Times New Roman" w:hAnsi="Times New Roman" w:cs="Times New Roman"/>
        </w:rPr>
        <w:t xml:space="preserve"> determine the best tenets of student and institutional eligibility.</w:t>
      </w:r>
      <w:r w:rsidR="0041782B">
        <w:rPr>
          <w:rFonts w:ascii="Times New Roman" w:eastAsia="Times New Roman" w:hAnsi="Times New Roman" w:cs="Times New Roman"/>
        </w:rPr>
        <w:t xml:space="preserve"> These conversations must, above all, focus on </w:t>
      </w:r>
      <w:r w:rsidR="0041782B">
        <w:rPr>
          <w:rFonts w:ascii="Times New Roman" w:eastAsia="Times New Roman" w:hAnsi="Times New Roman" w:cs="Times New Roman"/>
        </w:rPr>
        <w:lastRenderedPageBreak/>
        <w:t>the humanity of the individuals being served and center the idea that access to education is an essential human right.</w:t>
      </w:r>
    </w:p>
    <w:p w14:paraId="14344DA6" w14:textId="77777777" w:rsidR="00596DBC" w:rsidRDefault="00596DBC">
      <w:pPr>
        <w:spacing w:after="160" w:line="259" w:lineRule="auto"/>
        <w:rPr>
          <w:rFonts w:ascii="Times New Roman" w:eastAsia="Times New Roman" w:hAnsi="Times New Roman" w:cs="Times New Roman"/>
        </w:rPr>
      </w:pPr>
      <w:r>
        <w:rPr>
          <w:rFonts w:ascii="Times New Roman" w:eastAsia="Times New Roman" w:hAnsi="Times New Roman" w:cs="Times New Roman"/>
        </w:rPr>
        <w:br w:type="page"/>
      </w:r>
    </w:p>
    <w:p w14:paraId="21720560" w14:textId="5CE9E648" w:rsidR="00F956CF" w:rsidRPr="002B4407" w:rsidRDefault="00F956CF" w:rsidP="004D0AD5">
      <w:pPr>
        <w:contextualSpacing/>
        <w:jc w:val="center"/>
        <w:rPr>
          <w:rFonts w:ascii="Times New Roman" w:eastAsia="Times New Roman" w:hAnsi="Times New Roman" w:cs="Times New Roman"/>
        </w:rPr>
      </w:pPr>
      <w:r w:rsidRPr="002B4407">
        <w:rPr>
          <w:rFonts w:ascii="Times New Roman" w:eastAsia="Times New Roman" w:hAnsi="Times New Roman" w:cs="Times New Roman"/>
        </w:rPr>
        <w:lastRenderedPageBreak/>
        <w:t>Bibliography</w:t>
      </w:r>
    </w:p>
    <w:sdt>
      <w:sdtPr>
        <w:rPr>
          <w:rFonts w:ascii="Times New Roman" w:eastAsiaTheme="minorHAnsi" w:hAnsi="Times New Roman" w:cs="Times New Roman"/>
          <w:color w:val="auto"/>
          <w:sz w:val="24"/>
          <w:szCs w:val="24"/>
        </w:rPr>
        <w:id w:val="138087242"/>
        <w:docPartObj>
          <w:docPartGallery w:val="Bibliographies"/>
          <w:docPartUnique/>
        </w:docPartObj>
      </w:sdtPr>
      <w:sdtEndPr/>
      <w:sdtContent>
        <w:sdt>
          <w:sdtPr>
            <w:rPr>
              <w:rFonts w:ascii="Times New Roman" w:eastAsiaTheme="minorHAnsi" w:hAnsi="Times New Roman" w:cs="Times New Roman"/>
              <w:color w:val="auto"/>
              <w:sz w:val="24"/>
              <w:szCs w:val="24"/>
            </w:rPr>
            <w:id w:val="111145805"/>
            <w:bibliography/>
          </w:sdtPr>
          <w:sdtEndPr/>
          <w:sdtContent>
            <w:p w14:paraId="3A121682" w14:textId="697B11D0" w:rsidR="0075233E" w:rsidRPr="002B4407" w:rsidRDefault="00F956CF" w:rsidP="004D0AD5">
              <w:pPr>
                <w:pStyle w:val="Heading1"/>
                <w:spacing w:line="240" w:lineRule="auto"/>
                <w:ind w:left="720" w:hanging="720"/>
                <w:rPr>
                  <w:rFonts w:ascii="Times New Roman" w:hAnsi="Times New Roman" w:cs="Times New Roman"/>
                  <w:noProof/>
                  <w:color w:val="000000" w:themeColor="text1"/>
                  <w:sz w:val="24"/>
                  <w:szCs w:val="24"/>
                </w:rPr>
              </w:pPr>
              <w:r w:rsidRPr="002B4407">
                <w:rPr>
                  <w:rFonts w:ascii="Times New Roman" w:hAnsi="Times New Roman" w:cs="Times New Roman"/>
                  <w:sz w:val="24"/>
                  <w:szCs w:val="24"/>
                </w:rPr>
                <w:fldChar w:fldCharType="begin"/>
              </w:r>
              <w:r w:rsidRPr="002B4407">
                <w:rPr>
                  <w:rFonts w:ascii="Times New Roman" w:hAnsi="Times New Roman" w:cs="Times New Roman"/>
                  <w:sz w:val="24"/>
                  <w:szCs w:val="24"/>
                </w:rPr>
                <w:instrText xml:space="preserve"> BIBLIOGRAPHY </w:instrText>
              </w:r>
              <w:r w:rsidRPr="002B4407">
                <w:rPr>
                  <w:rFonts w:ascii="Times New Roman" w:hAnsi="Times New Roman" w:cs="Times New Roman"/>
                  <w:sz w:val="24"/>
                  <w:szCs w:val="24"/>
                </w:rPr>
                <w:fldChar w:fldCharType="separate"/>
              </w:r>
              <w:r w:rsidR="0075233E" w:rsidRPr="002B4407">
                <w:rPr>
                  <w:rFonts w:ascii="Times New Roman" w:hAnsi="Times New Roman" w:cs="Times New Roman"/>
                  <w:noProof/>
                  <w:color w:val="000000" w:themeColor="text1"/>
                  <w:sz w:val="24"/>
                  <w:szCs w:val="24"/>
                </w:rPr>
                <w:t xml:space="preserve">Alexander, M. 2012. </w:t>
              </w:r>
              <w:r w:rsidR="0075233E" w:rsidRPr="002B4407">
                <w:rPr>
                  <w:rFonts w:ascii="Times New Roman" w:hAnsi="Times New Roman" w:cs="Times New Roman"/>
                  <w:i/>
                  <w:iCs/>
                  <w:noProof/>
                  <w:color w:val="000000" w:themeColor="text1"/>
                  <w:sz w:val="24"/>
                  <w:szCs w:val="24"/>
                </w:rPr>
                <w:t>The New Jim Crow: Mass Incarceration in the Age of Colorblindness.</w:t>
              </w:r>
              <w:r w:rsidR="0075233E" w:rsidRPr="002B4407">
                <w:rPr>
                  <w:rFonts w:ascii="Times New Roman" w:hAnsi="Times New Roman" w:cs="Times New Roman"/>
                  <w:noProof/>
                  <w:color w:val="000000" w:themeColor="text1"/>
                  <w:sz w:val="24"/>
                  <w:szCs w:val="24"/>
                </w:rPr>
                <w:t xml:space="preserve"> New York: The New Press.</w:t>
              </w:r>
            </w:p>
            <w:p w14:paraId="62F657C9" w14:textId="77777777" w:rsidR="0075233E" w:rsidRPr="002B4407" w:rsidRDefault="0075233E" w:rsidP="00572B27">
              <w:pPr>
                <w:pStyle w:val="Bibliography"/>
                <w:ind w:left="720" w:hanging="720"/>
                <w:rPr>
                  <w:rFonts w:ascii="Times New Roman" w:hAnsi="Times New Roman" w:cs="Times New Roman"/>
                  <w:noProof/>
                  <w:color w:val="000000" w:themeColor="text1"/>
                </w:rPr>
              </w:pPr>
              <w:r w:rsidRPr="002B4407">
                <w:rPr>
                  <w:rFonts w:ascii="Times New Roman" w:hAnsi="Times New Roman" w:cs="Times New Roman"/>
                  <w:noProof/>
                  <w:color w:val="000000" w:themeColor="text1"/>
                </w:rPr>
                <w:t xml:space="preserve">Beck, A J, and D K Gilliard. 1995. </w:t>
              </w:r>
              <w:r w:rsidRPr="002B4407">
                <w:rPr>
                  <w:rFonts w:ascii="Times New Roman" w:hAnsi="Times New Roman" w:cs="Times New Roman"/>
                  <w:i/>
                  <w:iCs/>
                  <w:noProof/>
                  <w:color w:val="000000" w:themeColor="text1"/>
                </w:rPr>
                <w:t>Prisoners in 1994.</w:t>
              </w:r>
              <w:r w:rsidRPr="002B4407">
                <w:rPr>
                  <w:rFonts w:ascii="Times New Roman" w:hAnsi="Times New Roman" w:cs="Times New Roman"/>
                  <w:noProof/>
                  <w:color w:val="000000" w:themeColor="text1"/>
                </w:rPr>
                <w:t xml:space="preserve"> Bulletin, Washington, DC: United States Department of Justice, Office of Justice Programs, Bureau of Justice Statistics.</w:t>
              </w:r>
            </w:p>
            <w:p w14:paraId="1F929CB4" w14:textId="5FDFA9E9" w:rsidR="0075233E" w:rsidRPr="002B4407" w:rsidRDefault="0075233E" w:rsidP="00D15E5E">
              <w:pPr>
                <w:pStyle w:val="Bibliography"/>
                <w:ind w:left="720" w:hanging="720"/>
                <w:rPr>
                  <w:rFonts w:ascii="Times New Roman" w:hAnsi="Times New Roman" w:cs="Times New Roman"/>
                  <w:noProof/>
                </w:rPr>
              </w:pPr>
              <w:r w:rsidRPr="002B4407">
                <w:rPr>
                  <w:rFonts w:ascii="Times New Roman" w:hAnsi="Times New Roman" w:cs="Times New Roman"/>
                  <w:noProof/>
                  <w:color w:val="000000" w:themeColor="text1"/>
                </w:rPr>
                <w:t xml:space="preserve">Cahalan, M, L W Perna, M Yamashita, J Wright, and S Santillan. 2018. </w:t>
              </w:r>
              <w:r w:rsidRPr="002B4407">
                <w:rPr>
                  <w:rFonts w:ascii="Times New Roman" w:hAnsi="Times New Roman" w:cs="Times New Roman"/>
                  <w:i/>
                  <w:iCs/>
                  <w:noProof/>
                  <w:color w:val="000000" w:themeColor="text1"/>
                </w:rPr>
                <w:t>2</w:t>
              </w:r>
              <w:r w:rsidRPr="002B4407">
                <w:rPr>
                  <w:rFonts w:ascii="Times New Roman" w:hAnsi="Times New Roman" w:cs="Times New Roman"/>
                  <w:i/>
                  <w:iCs/>
                  <w:noProof/>
                </w:rPr>
                <w:t>018 Indicators of Higher Education Equity in the United States: Historical Trend Report.</w:t>
              </w:r>
              <w:r w:rsidRPr="002B4407">
                <w:rPr>
                  <w:rFonts w:ascii="Times New Roman" w:hAnsi="Times New Roman" w:cs="Times New Roman"/>
                  <w:noProof/>
                </w:rPr>
                <w:t xml:space="preserve"> Washington, DC: The Pell Institute for the Study of Opportunity in Higher Education, Council for Opportunity in Education (COE), and Alliance for Higher Education and Democracy of the University of Pennsylvania (PennAHEAD).</w:t>
              </w:r>
            </w:p>
            <w:p w14:paraId="22864B0E" w14:textId="71E3ACAC" w:rsidR="000E7C29" w:rsidRPr="002B4407" w:rsidRDefault="000E7C29" w:rsidP="00D15E5E">
              <w:pPr>
                <w:pStyle w:val="Bibliography"/>
                <w:ind w:left="720" w:hanging="720"/>
                <w:rPr>
                  <w:rFonts w:ascii="Times New Roman" w:hAnsi="Times New Roman" w:cs="Times New Roman"/>
                  <w:noProof/>
                  <w:color w:val="000000" w:themeColor="text1"/>
                </w:rPr>
              </w:pPr>
              <w:r w:rsidRPr="002B4407">
                <w:rPr>
                  <w:rFonts w:ascii="Times New Roman" w:hAnsi="Times New Roman" w:cs="Times New Roman"/>
                  <w:noProof/>
                  <w:color w:val="000000" w:themeColor="text1"/>
                </w:rPr>
                <w:t>Child Trends Databank. 2016. Young adults in jail or prison. Available at: </w:t>
              </w:r>
              <w:hyperlink r:id="rId11" w:history="1">
                <w:r w:rsidRPr="002B4407">
                  <w:rPr>
                    <w:rFonts w:ascii="Times New Roman" w:hAnsi="Times New Roman" w:cs="Times New Roman"/>
                    <w:noProof/>
                    <w:color w:val="000000" w:themeColor="text1"/>
                  </w:rPr>
                  <w:t>https://www.childtrends.org/?indicators=young-adults-in-jail-or-prison</w:t>
                </w:r>
              </w:hyperlink>
            </w:p>
            <w:p w14:paraId="0474BE85" w14:textId="69F0C764" w:rsidR="000C4948" w:rsidRPr="002B4407" w:rsidRDefault="0075233E">
              <w:pPr>
                <w:pStyle w:val="Bibliography"/>
                <w:ind w:left="720" w:hanging="720"/>
                <w:rPr>
                  <w:rFonts w:ascii="Times New Roman" w:hAnsi="Times New Roman" w:cs="Times New Roman"/>
                  <w:noProof/>
                </w:rPr>
              </w:pPr>
              <w:r w:rsidRPr="002B4407">
                <w:rPr>
                  <w:rFonts w:ascii="Times New Roman" w:hAnsi="Times New Roman" w:cs="Times New Roman"/>
                  <w:noProof/>
                </w:rPr>
                <w:t xml:space="preserve">Clear, T R. 2007. </w:t>
              </w:r>
              <w:r w:rsidRPr="002B4407">
                <w:rPr>
                  <w:rFonts w:ascii="Times New Roman" w:hAnsi="Times New Roman" w:cs="Times New Roman"/>
                  <w:i/>
                  <w:iCs/>
                  <w:noProof/>
                </w:rPr>
                <w:t>Imprisoning Communities: How Mass Incarceration Makes Disadvantaged Communities Worse.</w:t>
              </w:r>
              <w:r w:rsidRPr="002B4407">
                <w:rPr>
                  <w:rFonts w:ascii="Times New Roman" w:hAnsi="Times New Roman" w:cs="Times New Roman"/>
                  <w:noProof/>
                </w:rPr>
                <w:t xml:space="preserve"> New York: Oxford University Press.</w:t>
              </w:r>
            </w:p>
            <w:p w14:paraId="48ACDFB5" w14:textId="67912362" w:rsidR="0075233E" w:rsidRDefault="0075233E">
              <w:pPr>
                <w:pStyle w:val="Bibliography"/>
                <w:ind w:left="720" w:hanging="720"/>
                <w:rPr>
                  <w:rFonts w:ascii="Times New Roman" w:hAnsi="Times New Roman" w:cs="Times New Roman"/>
                  <w:noProof/>
                </w:rPr>
              </w:pPr>
              <w:r w:rsidRPr="002B4407">
                <w:rPr>
                  <w:rFonts w:ascii="Times New Roman" w:hAnsi="Times New Roman" w:cs="Times New Roman"/>
                  <w:noProof/>
                </w:rPr>
                <w:t xml:space="preserve">Davis, L M, R Bozick, J L Steele, J Saunders, and J N V Miles. 2013. </w:t>
              </w:r>
              <w:r w:rsidRPr="002B4407">
                <w:rPr>
                  <w:rFonts w:ascii="Times New Roman" w:hAnsi="Times New Roman" w:cs="Times New Roman"/>
                  <w:i/>
                  <w:iCs/>
                  <w:noProof/>
                </w:rPr>
                <w:t>Evaluating the Effectiveness of Correctional Education: A Meta-Analysis of Programs That provide Education to Incarcerated Adults.</w:t>
              </w:r>
              <w:r w:rsidRPr="002B4407">
                <w:rPr>
                  <w:rFonts w:ascii="Times New Roman" w:hAnsi="Times New Roman" w:cs="Times New Roman"/>
                  <w:noProof/>
                </w:rPr>
                <w:t xml:space="preserve"> Washington, DC: Rand Corporation.</w:t>
              </w:r>
            </w:p>
            <w:p w14:paraId="46074EFA" w14:textId="07E61D34" w:rsidR="00ED5048" w:rsidRPr="002B4407" w:rsidRDefault="00ED5048">
              <w:pPr>
                <w:pStyle w:val="Bibliography"/>
                <w:ind w:left="720" w:hanging="720"/>
                <w:rPr>
                  <w:rFonts w:ascii="Times New Roman" w:hAnsi="Times New Roman" w:cs="Times New Roman"/>
                  <w:noProof/>
                </w:rPr>
              </w:pPr>
              <w:r w:rsidRPr="002B4407">
                <w:rPr>
                  <w:rFonts w:ascii="Times New Roman" w:hAnsi="Times New Roman" w:cs="Times New Roman"/>
                  <w:noProof/>
                </w:rPr>
                <w:t xml:space="preserve">Freeman, R B. 1992. "Crime and Unemployment of Disadvantaged Youth." In A Harrell &amp; G Peterson (Eds), </w:t>
              </w:r>
              <w:r w:rsidRPr="002B4407">
                <w:rPr>
                  <w:rFonts w:ascii="Times New Roman" w:hAnsi="Times New Roman" w:cs="Times New Roman"/>
                  <w:i/>
                  <w:noProof/>
                </w:rPr>
                <w:t>Drugs, Crime and Social Isolation: Barriers to Urban Opportunity.</w:t>
              </w:r>
              <w:r w:rsidRPr="002B4407">
                <w:rPr>
                  <w:rFonts w:ascii="Times New Roman" w:hAnsi="Times New Roman" w:cs="Times New Roman"/>
                  <w:noProof/>
                </w:rPr>
                <w:t xml:space="preserve"> Washington, DC. Urban Institute.</w:t>
              </w:r>
            </w:p>
            <w:p w14:paraId="2B0EF6D3" w14:textId="77777777" w:rsidR="0075233E" w:rsidRPr="002B4407" w:rsidRDefault="0075233E">
              <w:pPr>
                <w:pStyle w:val="Bibliography"/>
                <w:ind w:left="720" w:hanging="720"/>
                <w:rPr>
                  <w:rFonts w:ascii="Times New Roman" w:hAnsi="Times New Roman" w:cs="Times New Roman"/>
                  <w:noProof/>
                </w:rPr>
              </w:pPr>
              <w:r w:rsidRPr="002B4407">
                <w:rPr>
                  <w:rFonts w:ascii="Times New Roman" w:hAnsi="Times New Roman" w:cs="Times New Roman"/>
                  <w:noProof/>
                </w:rPr>
                <w:t xml:space="preserve">Gehring, T. 1997. "Post-Secondary Education for Inmates: An Historical Inquiry." </w:t>
              </w:r>
              <w:r w:rsidRPr="002B4407">
                <w:rPr>
                  <w:rFonts w:ascii="Times New Roman" w:hAnsi="Times New Roman" w:cs="Times New Roman"/>
                  <w:i/>
                  <w:iCs/>
                  <w:noProof/>
                </w:rPr>
                <w:t>Journal of Correctional Education</w:t>
              </w:r>
              <w:r w:rsidRPr="002B4407">
                <w:rPr>
                  <w:rFonts w:ascii="Times New Roman" w:hAnsi="Times New Roman" w:cs="Times New Roman"/>
                  <w:noProof/>
                </w:rPr>
                <w:t xml:space="preserve"> 46-55.</w:t>
              </w:r>
            </w:p>
            <w:p w14:paraId="781FCED8" w14:textId="77777777" w:rsidR="0075233E" w:rsidRPr="002B4407" w:rsidRDefault="0075233E">
              <w:pPr>
                <w:pStyle w:val="Bibliography"/>
                <w:ind w:left="720" w:hanging="720"/>
                <w:rPr>
                  <w:rFonts w:ascii="Times New Roman" w:hAnsi="Times New Roman" w:cs="Times New Roman"/>
                  <w:noProof/>
                </w:rPr>
              </w:pPr>
              <w:r w:rsidRPr="002B4407">
                <w:rPr>
                  <w:rFonts w:ascii="Times New Roman" w:hAnsi="Times New Roman" w:cs="Times New Roman"/>
                  <w:noProof/>
                </w:rPr>
                <w:t xml:space="preserve">Gottschalk, M. 2015. </w:t>
              </w:r>
              <w:r w:rsidRPr="002B4407">
                <w:rPr>
                  <w:rFonts w:ascii="Times New Roman" w:hAnsi="Times New Roman" w:cs="Times New Roman"/>
                  <w:i/>
                  <w:iCs/>
                  <w:noProof/>
                </w:rPr>
                <w:t>Caught: The Prison State and the Lockdown of American Politics.</w:t>
              </w:r>
              <w:r w:rsidRPr="002B4407">
                <w:rPr>
                  <w:rFonts w:ascii="Times New Roman" w:hAnsi="Times New Roman" w:cs="Times New Roman"/>
                  <w:noProof/>
                </w:rPr>
                <w:t xml:space="preserve"> Princeton, NJ: Princeton University Press.</w:t>
              </w:r>
            </w:p>
            <w:p w14:paraId="182D46F9" w14:textId="6B2B61DB" w:rsidR="00EF134A" w:rsidRPr="002B4407" w:rsidRDefault="00EF134A">
              <w:pPr>
                <w:ind w:left="720" w:hanging="720"/>
                <w:rPr>
                  <w:rFonts w:ascii="Times New Roman" w:hAnsi="Times New Roman" w:cs="Times New Roman"/>
                </w:rPr>
              </w:pPr>
              <w:r w:rsidRPr="002B4407">
                <w:rPr>
                  <w:rFonts w:ascii="Times New Roman" w:hAnsi="Times New Roman" w:cs="Times New Roman"/>
                </w:rPr>
                <w:t>Green, Erica L.</w:t>
              </w:r>
              <w:r w:rsidR="0035719E" w:rsidRPr="002B4407">
                <w:rPr>
                  <w:rFonts w:ascii="Times New Roman" w:hAnsi="Times New Roman" w:cs="Times New Roman"/>
                </w:rPr>
                <w:t xml:space="preserve"> 2018.</w:t>
              </w:r>
              <w:r w:rsidRPr="002B4407">
                <w:rPr>
                  <w:rFonts w:ascii="Times New Roman" w:hAnsi="Times New Roman" w:cs="Times New Roman"/>
                </w:rPr>
                <w:t xml:space="preserve"> "Senate Leaders Reconsider Ban on Pell Grants for Prisoners." </w:t>
              </w:r>
              <w:r w:rsidRPr="002B4407">
                <w:rPr>
                  <w:rFonts w:ascii="Times New Roman" w:hAnsi="Times New Roman" w:cs="Times New Roman"/>
                  <w:i/>
                </w:rPr>
                <w:t>The New York Times</w:t>
              </w:r>
              <w:r w:rsidR="00846DA9" w:rsidRPr="002B4407">
                <w:rPr>
                  <w:rFonts w:ascii="Times New Roman" w:hAnsi="Times New Roman" w:cs="Times New Roman"/>
                </w:rPr>
                <w:t>.</w:t>
              </w:r>
              <w:r w:rsidR="005B5336">
                <w:rPr>
                  <w:rFonts w:ascii="Times New Roman" w:hAnsi="Times New Roman" w:cs="Times New Roman"/>
                </w:rPr>
                <w:t xml:space="preserve"> Retrieved from </w:t>
              </w:r>
              <w:r w:rsidR="005B5336" w:rsidRPr="005B5336">
                <w:rPr>
                  <w:rFonts w:ascii="Times New Roman" w:hAnsi="Times New Roman" w:cs="Times New Roman"/>
                </w:rPr>
                <w:t>https://www.nytimes.com/2018/02/15/us/politics/pell-grants-prisoners.html</w:t>
              </w:r>
            </w:p>
            <w:p w14:paraId="0599BEDC" w14:textId="56BB4AD8" w:rsidR="000C4948" w:rsidRPr="002B4407" w:rsidRDefault="000C4948">
              <w:pPr>
                <w:ind w:left="720" w:hanging="720"/>
                <w:rPr>
                  <w:rFonts w:ascii="Times New Roman" w:hAnsi="Times New Roman" w:cs="Times New Roman"/>
                  <w:noProof/>
                </w:rPr>
              </w:pPr>
              <w:r w:rsidRPr="002B4407">
                <w:rPr>
                  <w:rFonts w:ascii="Times New Roman" w:hAnsi="Times New Roman" w:cs="Times New Roman"/>
                  <w:noProof/>
                </w:rPr>
                <w:t>Harlow</w:t>
              </w:r>
              <w:r w:rsidR="002435C1" w:rsidRPr="002B4407">
                <w:rPr>
                  <w:rFonts w:ascii="Times New Roman" w:hAnsi="Times New Roman" w:cs="Times New Roman"/>
                  <w:noProof/>
                </w:rPr>
                <w:t>, C W</w:t>
              </w:r>
              <w:r w:rsidR="00245940" w:rsidRPr="002B4407">
                <w:rPr>
                  <w:rFonts w:ascii="Times New Roman" w:hAnsi="Times New Roman" w:cs="Times New Roman"/>
                  <w:noProof/>
                </w:rPr>
                <w:t>. 2003</w:t>
              </w:r>
              <w:r w:rsidR="004E3715" w:rsidRPr="002B4407">
                <w:rPr>
                  <w:rFonts w:ascii="Times New Roman" w:hAnsi="Times New Roman" w:cs="Times New Roman"/>
                  <w:noProof/>
                </w:rPr>
                <w:t xml:space="preserve">. </w:t>
              </w:r>
              <w:r w:rsidR="004E3715" w:rsidRPr="002B4407">
                <w:rPr>
                  <w:rFonts w:ascii="Times New Roman" w:hAnsi="Times New Roman" w:cs="Times New Roman"/>
                  <w:i/>
                  <w:noProof/>
                </w:rPr>
                <w:t>Education and Correctional Populations</w:t>
              </w:r>
              <w:r w:rsidR="004E3715" w:rsidRPr="002B4407">
                <w:rPr>
                  <w:rFonts w:ascii="Times New Roman" w:hAnsi="Times New Roman" w:cs="Times New Roman"/>
                  <w:noProof/>
                </w:rPr>
                <w:t xml:space="preserve"> (Special Report NCJ 195670)</w:t>
              </w:r>
              <w:r w:rsidR="002971D4" w:rsidRPr="002B4407">
                <w:rPr>
                  <w:rFonts w:ascii="Times New Roman" w:hAnsi="Times New Roman" w:cs="Times New Roman"/>
                  <w:noProof/>
                </w:rPr>
                <w:t>. Retrieved from</w:t>
              </w:r>
              <w:r w:rsidR="00EE47AE" w:rsidRPr="002B4407">
                <w:rPr>
                  <w:rFonts w:ascii="Times New Roman" w:hAnsi="Times New Roman" w:cs="Times New Roman"/>
                  <w:noProof/>
                </w:rPr>
                <w:t xml:space="preserve"> United States Department of Justice Office of Justice Programs. Bureau of Justice Statistics</w:t>
              </w:r>
              <w:r w:rsidR="00CB2C8C" w:rsidRPr="002B4407">
                <w:rPr>
                  <w:rFonts w:ascii="Times New Roman" w:hAnsi="Times New Roman" w:cs="Times New Roman"/>
                  <w:noProof/>
                </w:rPr>
                <w:t xml:space="preserve"> website http://www.bjs.gov</w:t>
              </w:r>
              <w:r w:rsidR="0097194A" w:rsidRPr="002B4407">
                <w:rPr>
                  <w:rFonts w:ascii="Times New Roman" w:hAnsi="Times New Roman" w:cs="Times New Roman"/>
                  <w:noProof/>
                </w:rPr>
                <w:t>.</w:t>
              </w:r>
            </w:p>
            <w:p w14:paraId="774F3EA2" w14:textId="5A3E07F1" w:rsidR="0075233E" w:rsidRDefault="0075233E">
              <w:pPr>
                <w:pStyle w:val="Bibliography"/>
                <w:ind w:left="720" w:hanging="720"/>
                <w:rPr>
                  <w:rFonts w:ascii="Times New Roman" w:hAnsi="Times New Roman" w:cs="Times New Roman"/>
                  <w:noProof/>
                </w:rPr>
              </w:pPr>
              <w:r w:rsidRPr="002B4407">
                <w:rPr>
                  <w:rFonts w:ascii="Times New Roman" w:hAnsi="Times New Roman" w:cs="Times New Roman"/>
                  <w:noProof/>
                </w:rPr>
                <w:t xml:space="preserve">Institute for Higher Education Policy. 1994. "Pell Grants: Are Prisoners the Program's Biggest Problem?" </w:t>
              </w:r>
              <w:r w:rsidRPr="002B4407">
                <w:rPr>
                  <w:rFonts w:ascii="Times New Roman" w:hAnsi="Times New Roman" w:cs="Times New Roman"/>
                  <w:i/>
                  <w:iCs/>
                  <w:noProof/>
                </w:rPr>
                <w:t>Policy Steps</w:t>
              </w:r>
              <w:r w:rsidRPr="002B4407">
                <w:rPr>
                  <w:rFonts w:ascii="Times New Roman" w:hAnsi="Times New Roman" w:cs="Times New Roman"/>
                  <w:noProof/>
                </w:rPr>
                <w:t>, Spring: 1-8.</w:t>
              </w:r>
            </w:p>
            <w:p w14:paraId="18C396C6" w14:textId="56F4DC92" w:rsidR="00E74B78" w:rsidRPr="002B4407" w:rsidRDefault="00E74B78" w:rsidP="002B4407">
              <w:pPr>
                <w:ind w:left="720" w:hanging="720"/>
                <w:rPr>
                  <w:rFonts w:ascii="Times New Roman" w:hAnsi="Times New Roman" w:cs="Times New Roman"/>
                </w:rPr>
              </w:pPr>
              <w:r w:rsidRPr="002B4407">
                <w:rPr>
                  <w:rFonts w:ascii="Times New Roman" w:hAnsi="Times New Roman" w:cs="Times New Roman"/>
                </w:rPr>
                <w:t>Kreighbaum</w:t>
              </w:r>
              <w:r w:rsidR="005B5336" w:rsidRPr="002B4407">
                <w:rPr>
                  <w:rFonts w:ascii="Times New Roman" w:hAnsi="Times New Roman" w:cs="Times New Roman"/>
                </w:rPr>
                <w:t xml:space="preserve">, A. 2018. "Building Momentum Behind Prison Education." </w:t>
              </w:r>
              <w:r w:rsidR="005B5336" w:rsidRPr="002B4407">
                <w:rPr>
                  <w:rFonts w:ascii="Times New Roman" w:hAnsi="Times New Roman" w:cs="Times New Roman"/>
                  <w:i/>
                </w:rPr>
                <w:t>Inside Higher Ed</w:t>
              </w:r>
              <w:r w:rsidR="005B5336" w:rsidRPr="002B4407">
                <w:rPr>
                  <w:rFonts w:ascii="Times New Roman" w:hAnsi="Times New Roman" w:cs="Times New Roman"/>
                </w:rPr>
                <w:t>. Retrieved from https://www.insidehighered.com/news/2018/08/29/trump-administrations-renewed-interest-prison-education</w:t>
              </w:r>
            </w:p>
            <w:p w14:paraId="3622CAF5" w14:textId="1D6ECF6C" w:rsidR="0075233E" w:rsidRDefault="0075233E">
              <w:pPr>
                <w:pStyle w:val="Bibliography"/>
                <w:ind w:left="720" w:hanging="720"/>
                <w:rPr>
                  <w:rFonts w:ascii="Times New Roman" w:hAnsi="Times New Roman" w:cs="Times New Roman"/>
                  <w:noProof/>
                </w:rPr>
              </w:pPr>
              <w:r w:rsidRPr="002B4407">
                <w:rPr>
                  <w:rFonts w:ascii="Times New Roman" w:hAnsi="Times New Roman" w:cs="Times New Roman"/>
                  <w:noProof/>
                </w:rPr>
                <w:t xml:space="preserve">Nichols, A H, and D Evans-Bell. 2017. </w:t>
              </w:r>
              <w:r w:rsidRPr="002B4407">
                <w:rPr>
                  <w:rFonts w:ascii="Times New Roman" w:hAnsi="Times New Roman" w:cs="Times New Roman"/>
                  <w:i/>
                  <w:iCs/>
                  <w:noProof/>
                </w:rPr>
                <w:t>A Look at Black Student Success: Identifying Top- and Bottom-Performing Institutions.</w:t>
              </w:r>
              <w:r w:rsidRPr="002B4407">
                <w:rPr>
                  <w:rFonts w:ascii="Times New Roman" w:hAnsi="Times New Roman" w:cs="Times New Roman"/>
                  <w:noProof/>
                </w:rPr>
                <w:t xml:space="preserve"> Washington, DC: The Education Trust.</w:t>
              </w:r>
            </w:p>
            <w:p w14:paraId="0510D9F2" w14:textId="77777777" w:rsidR="00ED5048" w:rsidRPr="002B4407" w:rsidRDefault="00ED5048" w:rsidP="002B4407">
              <w:pPr>
                <w:pStyle w:val="Bibliography"/>
                <w:ind w:left="720" w:hanging="720"/>
                <w:rPr>
                  <w:rFonts w:ascii="Times New Roman" w:hAnsi="Times New Roman" w:cs="Times New Roman"/>
                  <w:noProof/>
                </w:rPr>
              </w:pPr>
              <w:r w:rsidRPr="002B4407">
                <w:rPr>
                  <w:rFonts w:ascii="Times New Roman" w:hAnsi="Times New Roman" w:cs="Times New Roman"/>
                  <w:noProof/>
                </w:rPr>
                <w:t xml:space="preserve">Pager, D. (2003). The mark of a criminal record. </w:t>
              </w:r>
              <w:r w:rsidRPr="002B4407">
                <w:rPr>
                  <w:rFonts w:ascii="Times New Roman" w:hAnsi="Times New Roman" w:cs="Times New Roman"/>
                  <w:i/>
                  <w:noProof/>
                </w:rPr>
                <w:t>American Journal of Sociology, 108</w:t>
              </w:r>
              <w:r w:rsidRPr="002B4407">
                <w:rPr>
                  <w:rFonts w:ascii="Times New Roman" w:hAnsi="Times New Roman" w:cs="Times New Roman"/>
                  <w:noProof/>
                </w:rPr>
                <w:t>(5). 937-975.</w:t>
              </w:r>
            </w:p>
            <w:p w14:paraId="3F18224C" w14:textId="63F10F78" w:rsidR="00ED5048" w:rsidRPr="002B4407" w:rsidRDefault="00ED5048">
              <w:pPr>
                <w:pStyle w:val="Bibliography"/>
                <w:ind w:left="720" w:hanging="720"/>
                <w:rPr>
                  <w:rFonts w:ascii="Times New Roman" w:hAnsi="Times New Roman" w:cs="Times New Roman"/>
                  <w:noProof/>
                </w:rPr>
              </w:pPr>
              <w:r w:rsidRPr="002B4407">
                <w:rPr>
                  <w:rFonts w:ascii="Times New Roman" w:hAnsi="Times New Roman" w:cs="Times New Roman"/>
                  <w:noProof/>
                </w:rPr>
                <w:t xml:space="preserve">Pager, D. (2007). </w:t>
              </w:r>
              <w:r w:rsidRPr="002B4407">
                <w:rPr>
                  <w:rFonts w:ascii="Times New Roman" w:hAnsi="Times New Roman" w:cs="Times New Roman"/>
                  <w:i/>
                  <w:noProof/>
                </w:rPr>
                <w:t>Marked. Race, Crime, and Finding Work in an Era of Mass Incarceration</w:t>
              </w:r>
              <w:r w:rsidRPr="002B4407">
                <w:rPr>
                  <w:rFonts w:ascii="Times New Roman" w:hAnsi="Times New Roman" w:cs="Times New Roman"/>
                  <w:noProof/>
                </w:rPr>
                <w:t>. Chicago, Illinois. The University of Chicago Press.</w:t>
              </w:r>
            </w:p>
            <w:p w14:paraId="16711019" w14:textId="4264D549" w:rsidR="007C00B3" w:rsidRPr="002B4407" w:rsidRDefault="0075233E">
              <w:pPr>
                <w:pStyle w:val="Bibliography"/>
                <w:ind w:left="720" w:hanging="720"/>
                <w:rPr>
                  <w:rFonts w:ascii="Times New Roman" w:hAnsi="Times New Roman" w:cs="Times New Roman"/>
                  <w:noProof/>
                </w:rPr>
              </w:pPr>
              <w:r w:rsidRPr="002B4407">
                <w:rPr>
                  <w:rFonts w:ascii="Times New Roman" w:hAnsi="Times New Roman" w:cs="Times New Roman"/>
                  <w:noProof/>
                </w:rPr>
                <w:t>Pilsbury, L D. 1877. "Report of the Board of Managers: New York State Reformatory at Elmira." Board Report, New York.</w:t>
              </w:r>
            </w:p>
            <w:p w14:paraId="3157267D" w14:textId="503CE475" w:rsidR="009C1BAC" w:rsidRPr="002B4407" w:rsidRDefault="009C1BAC">
              <w:pPr>
                <w:pStyle w:val="Bibliography"/>
                <w:ind w:left="720" w:hanging="720"/>
                <w:rPr>
                  <w:rFonts w:ascii="Times New Roman" w:hAnsi="Times New Roman" w:cs="Times New Roman"/>
                  <w:noProof/>
                </w:rPr>
              </w:pPr>
              <w:r w:rsidRPr="002B4407">
                <w:rPr>
                  <w:rFonts w:ascii="Times New Roman" w:hAnsi="Times New Roman" w:cs="Times New Roman"/>
                  <w:noProof/>
                </w:rPr>
                <w:lastRenderedPageBreak/>
                <w:t>Programme for the International Assessment of Adult Competencies. Survey of Adult Skills. Report, Organization for Economic Co-operation and Development.</w:t>
              </w:r>
            </w:p>
            <w:p w14:paraId="3C4C2DCC" w14:textId="77777777" w:rsidR="0075233E" w:rsidRPr="002B4407" w:rsidRDefault="0075233E">
              <w:pPr>
                <w:pStyle w:val="Bibliography"/>
                <w:ind w:left="720" w:hanging="720"/>
                <w:rPr>
                  <w:rFonts w:ascii="Times New Roman" w:hAnsi="Times New Roman" w:cs="Times New Roman"/>
                  <w:noProof/>
                </w:rPr>
              </w:pPr>
              <w:r w:rsidRPr="002B4407">
                <w:rPr>
                  <w:rFonts w:ascii="Times New Roman" w:hAnsi="Times New Roman" w:cs="Times New Roman"/>
                  <w:noProof/>
                </w:rPr>
                <w:t xml:space="preserve">Rabuy, B, and D Kopf. 2015. </w:t>
              </w:r>
              <w:r w:rsidRPr="002B4407">
                <w:rPr>
                  <w:rFonts w:ascii="Times New Roman" w:hAnsi="Times New Roman" w:cs="Times New Roman"/>
                  <w:i/>
                  <w:iCs/>
                  <w:noProof/>
                </w:rPr>
                <w:t>Prisons of Poverty: Uncovering the Pre-Incarceration Incomes of the Imprisoned.</w:t>
              </w:r>
              <w:r w:rsidRPr="002B4407">
                <w:rPr>
                  <w:rFonts w:ascii="Times New Roman" w:hAnsi="Times New Roman" w:cs="Times New Roman"/>
                  <w:noProof/>
                </w:rPr>
                <w:t xml:space="preserve"> Briefing, Prison Policy Initiative.</w:t>
              </w:r>
            </w:p>
            <w:p w14:paraId="5185D13C" w14:textId="03DC26CD" w:rsidR="0075233E" w:rsidRPr="002B4407" w:rsidRDefault="0075233E">
              <w:pPr>
                <w:pStyle w:val="Bibliography"/>
                <w:ind w:left="720" w:hanging="720"/>
                <w:rPr>
                  <w:rFonts w:ascii="Times New Roman" w:hAnsi="Times New Roman" w:cs="Times New Roman"/>
                  <w:noProof/>
                </w:rPr>
              </w:pPr>
              <w:r w:rsidRPr="002B4407">
                <w:rPr>
                  <w:rFonts w:ascii="Times New Roman" w:hAnsi="Times New Roman" w:cs="Times New Roman"/>
                  <w:noProof/>
                </w:rPr>
                <w:t xml:space="preserve">Sakala, L. 2014. </w:t>
              </w:r>
              <w:r w:rsidRPr="002B4407">
                <w:rPr>
                  <w:rFonts w:ascii="Times New Roman" w:hAnsi="Times New Roman" w:cs="Times New Roman"/>
                  <w:i/>
                  <w:iCs/>
                  <w:noProof/>
                </w:rPr>
                <w:t>Breaking Down Mass Incarceration in the 2010 Census: State-by-State Incarceration Rates by Race/Ethnicity.</w:t>
              </w:r>
              <w:r w:rsidRPr="002B4407">
                <w:rPr>
                  <w:rFonts w:ascii="Times New Roman" w:hAnsi="Times New Roman" w:cs="Times New Roman"/>
                  <w:noProof/>
                </w:rPr>
                <w:t xml:space="preserve"> Briefing, Prison Policy Initiative.</w:t>
              </w:r>
            </w:p>
            <w:p w14:paraId="2FC934DB" w14:textId="2F1BE25D" w:rsidR="007C00B3" w:rsidRPr="002B4407" w:rsidRDefault="007C00B3">
              <w:pPr>
                <w:pStyle w:val="Bibliography"/>
                <w:ind w:left="720" w:hanging="720"/>
                <w:rPr>
                  <w:rFonts w:ascii="Times New Roman" w:hAnsi="Times New Roman" w:cs="Times New Roman"/>
                  <w:noProof/>
                </w:rPr>
              </w:pPr>
              <w:r w:rsidRPr="002B4407">
                <w:rPr>
                  <w:rFonts w:ascii="Times New Roman" w:hAnsi="Times New Roman" w:cs="Times New Roman"/>
                  <w:noProof/>
                </w:rPr>
                <w:t>Sawyer, W. 2018. The Gender Divide: Tracking Women's State Prison Growth. Report, Prison Policy Initiative.</w:t>
              </w:r>
            </w:p>
            <w:p w14:paraId="5BC7E62C" w14:textId="749DF9DF" w:rsidR="001E0204" w:rsidRPr="002B4407" w:rsidRDefault="001E0204" w:rsidP="002B4407">
              <w:pPr>
                <w:widowControl w:val="0"/>
                <w:autoSpaceDE w:val="0"/>
                <w:autoSpaceDN w:val="0"/>
                <w:adjustRightInd w:val="0"/>
                <w:spacing w:after="240"/>
                <w:contextualSpacing/>
                <w:rPr>
                  <w:rFonts w:ascii="Times New Roman" w:hAnsi="Times New Roman" w:cs="Times New Roman"/>
                  <w:noProof/>
                </w:rPr>
              </w:pPr>
              <w:r w:rsidRPr="002B4407">
                <w:rPr>
                  <w:rFonts w:ascii="Times New Roman" w:hAnsi="Times New Roman" w:cs="Times New Roman"/>
                </w:rPr>
                <w:t>United State Bureau of Justice Statistics</w:t>
              </w:r>
              <w:r w:rsidRPr="008075A4">
                <w:rPr>
                  <w:rFonts w:ascii="Times New Roman" w:hAnsi="Times New Roman" w:cs="Times New Roman"/>
                </w:rPr>
                <w:t xml:space="preserve">. 2017. </w:t>
              </w:r>
              <w:r w:rsidRPr="002B4407">
                <w:rPr>
                  <w:rFonts w:ascii="Times New Roman" w:hAnsi="Times New Roman" w:cs="Times New Roman"/>
                  <w:i/>
                  <w:iCs/>
                </w:rPr>
                <w:t>Prisoners in 2016</w:t>
              </w:r>
              <w:r w:rsidRPr="008075A4">
                <w:rPr>
                  <w:rFonts w:ascii="Times New Roman" w:hAnsi="Times New Roman" w:cs="Times New Roman"/>
                </w:rPr>
                <w:t xml:space="preserve">. Retrieved from </w:t>
              </w:r>
              <w:r w:rsidRPr="002B4407">
                <w:rPr>
                  <w:rFonts w:ascii="Times New Roman" w:hAnsi="Times New Roman" w:cs="Times New Roman"/>
                  <w:noProof/>
                </w:rPr>
                <w:t>Bureau of</w:t>
              </w:r>
              <w:r w:rsidRPr="002B4407">
                <w:rPr>
                  <w:rFonts w:ascii="Times New Roman" w:hAnsi="Times New Roman" w:cs="Times New Roman"/>
                  <w:noProof/>
                </w:rPr>
                <w:tab/>
                <w:t>Justice Statistics website http://www.bjs.gov.</w:t>
              </w:r>
            </w:p>
            <w:p w14:paraId="12EDDD84" w14:textId="09124127" w:rsidR="003521C8" w:rsidRPr="002B4407" w:rsidRDefault="00DA0C53" w:rsidP="002B4407">
              <w:pPr>
                <w:ind w:left="720" w:hanging="720"/>
                <w:contextualSpacing/>
                <w:rPr>
                  <w:rFonts w:ascii="Times New Roman" w:hAnsi="Times New Roman" w:cs="Times New Roman"/>
                </w:rPr>
              </w:pPr>
              <w:r w:rsidRPr="002B4407">
                <w:rPr>
                  <w:rFonts w:ascii="Times New Roman" w:hAnsi="Times New Roman" w:cs="Times New Roman"/>
                </w:rPr>
                <w:t>United States Depart</w:t>
              </w:r>
              <w:r w:rsidR="00437C13" w:rsidRPr="002B4407">
                <w:rPr>
                  <w:rFonts w:ascii="Times New Roman" w:hAnsi="Times New Roman" w:cs="Times New Roman"/>
                </w:rPr>
                <w:t>ment of Education. 2016. "12,000 Incarcerated Students to Enroll in Postsecondary Educational and Training Programs Through Education Department's New Second Chance Pell Pilot Program.</w:t>
              </w:r>
              <w:r w:rsidR="003E3632" w:rsidRPr="002B4407">
                <w:rPr>
                  <w:rFonts w:ascii="Times New Roman" w:hAnsi="Times New Roman" w:cs="Times New Roman"/>
                </w:rPr>
                <w:t>" Retrieved from https://www.ed.gov/news/press-releases/12000-incarcerated-students-enroll-postsecondary</w:t>
              </w:r>
              <w:r w:rsidR="00E16E72" w:rsidRPr="002B4407">
                <w:rPr>
                  <w:rFonts w:ascii="Times New Roman" w:hAnsi="Times New Roman" w:cs="Times New Roman"/>
                </w:rPr>
                <w:t>-educational-and-training-programs-through-education-departments-new-second-chance-pell-pilot-program.</w:t>
              </w:r>
            </w:p>
            <w:p w14:paraId="1F131426" w14:textId="5D60140A" w:rsidR="00B362EF" w:rsidRPr="002B4407" w:rsidRDefault="00B362EF" w:rsidP="004D0AD5">
              <w:pPr>
                <w:ind w:left="720" w:hanging="720"/>
                <w:rPr>
                  <w:rFonts w:ascii="Times New Roman" w:hAnsi="Times New Roman" w:cs="Times New Roman"/>
                </w:rPr>
              </w:pPr>
              <w:r w:rsidRPr="002B4407">
                <w:rPr>
                  <w:rFonts w:ascii="Times New Roman" w:hAnsi="Times New Roman" w:cs="Times New Roman"/>
                  <w:shd w:val="clear" w:color="auto" w:fill="FFFFFF"/>
                </w:rPr>
                <w:t xml:space="preserve">Vera </w:t>
              </w:r>
              <w:r w:rsidR="002C4E1E" w:rsidRPr="002B4407">
                <w:rPr>
                  <w:rFonts w:ascii="Times New Roman" w:hAnsi="Times New Roman" w:cs="Times New Roman"/>
                  <w:shd w:val="clear" w:color="auto" w:fill="FFFFFF"/>
                </w:rPr>
                <w:t xml:space="preserve">Institute of Justice. 2018. </w:t>
              </w:r>
              <w:r w:rsidRPr="002B4407">
                <w:rPr>
                  <w:rFonts w:ascii="Times New Roman" w:hAnsi="Times New Roman" w:cs="Times New Roman"/>
                  <w:shd w:val="clear" w:color="auto" w:fill="FFFFFF"/>
                </w:rPr>
                <w:t>“Women Behind Bars.” </w:t>
              </w:r>
              <w:r w:rsidR="00A864EA" w:rsidRPr="002B4407">
                <w:rPr>
                  <w:rFonts w:ascii="Times New Roman" w:hAnsi="Times New Roman" w:cs="Times New Roman"/>
                  <w:shd w:val="clear" w:color="auto" w:fill="FFFFFF"/>
                </w:rPr>
                <w:t xml:space="preserve">Retrieved from Vera Institute of Justice </w:t>
              </w:r>
              <w:r w:rsidRPr="002B4407">
                <w:rPr>
                  <w:rFonts w:ascii="Times New Roman" w:hAnsi="Times New Roman" w:cs="Times New Roman"/>
                  <w:shd w:val="clear" w:color="auto" w:fill="FFFFFF"/>
                </w:rPr>
                <w:t>www.vera.org/the-human-toll-of-jail/inmate-turned-advocate/women-behind-bars.</w:t>
              </w:r>
            </w:p>
            <w:p w14:paraId="15B8DABE" w14:textId="77777777" w:rsidR="0075233E" w:rsidRPr="002B4407" w:rsidRDefault="0075233E" w:rsidP="00572B27">
              <w:pPr>
                <w:pStyle w:val="Bibliography"/>
                <w:ind w:left="720" w:hanging="720"/>
                <w:rPr>
                  <w:rFonts w:ascii="Times New Roman" w:hAnsi="Times New Roman" w:cs="Times New Roman"/>
                  <w:noProof/>
                </w:rPr>
              </w:pPr>
              <w:r w:rsidRPr="002B4407">
                <w:rPr>
                  <w:rFonts w:ascii="Times New Roman" w:hAnsi="Times New Roman" w:cs="Times New Roman"/>
                  <w:noProof/>
                </w:rPr>
                <w:t xml:space="preserve">Western, B. 2006. </w:t>
              </w:r>
              <w:r w:rsidRPr="002B4407">
                <w:rPr>
                  <w:rFonts w:ascii="Times New Roman" w:hAnsi="Times New Roman" w:cs="Times New Roman"/>
                  <w:i/>
                  <w:iCs/>
                  <w:noProof/>
                </w:rPr>
                <w:t>Punishment and Inequality in America.</w:t>
              </w:r>
              <w:r w:rsidRPr="002B4407">
                <w:rPr>
                  <w:rFonts w:ascii="Times New Roman" w:hAnsi="Times New Roman" w:cs="Times New Roman"/>
                  <w:noProof/>
                </w:rPr>
                <w:t xml:space="preserve"> New York: Russell Sage Foundation.</w:t>
              </w:r>
            </w:p>
            <w:p w14:paraId="6FAC6CBC" w14:textId="57EC549E" w:rsidR="0075233E" w:rsidRPr="002B4407" w:rsidRDefault="0075233E" w:rsidP="00D15E5E">
              <w:pPr>
                <w:pStyle w:val="Bibliography"/>
                <w:ind w:left="720" w:hanging="720"/>
                <w:rPr>
                  <w:rFonts w:ascii="Times New Roman" w:hAnsi="Times New Roman" w:cs="Times New Roman"/>
                  <w:noProof/>
                </w:rPr>
              </w:pPr>
              <w:r w:rsidRPr="002B4407">
                <w:rPr>
                  <w:rFonts w:ascii="Times New Roman" w:hAnsi="Times New Roman" w:cs="Times New Roman"/>
                  <w:noProof/>
                </w:rPr>
                <w:t xml:space="preserve">Wexler, E. 2016. "Prisoners to get "Second Chance Pell"." </w:t>
              </w:r>
              <w:r w:rsidRPr="002B4407">
                <w:rPr>
                  <w:rFonts w:ascii="Times New Roman" w:hAnsi="Times New Roman" w:cs="Times New Roman"/>
                  <w:i/>
                  <w:iCs/>
                  <w:noProof/>
                </w:rPr>
                <w:t>Inside Higher Ed</w:t>
              </w:r>
              <w:r w:rsidRPr="002B4407">
                <w:rPr>
                  <w:rFonts w:ascii="Times New Roman" w:hAnsi="Times New Roman" w:cs="Times New Roman"/>
                  <w:noProof/>
                </w:rPr>
                <w:t>, June 24.</w:t>
              </w:r>
            </w:p>
            <w:p w14:paraId="14E812F4" w14:textId="77777777" w:rsidR="001E0204" w:rsidRPr="002B4407" w:rsidRDefault="001E0204" w:rsidP="00D15E5E">
              <w:pPr>
                <w:contextualSpacing/>
                <w:rPr>
                  <w:rFonts w:ascii="Times New Roman" w:hAnsi="Times New Roman" w:cs="Times New Roman"/>
                  <w:color w:val="000000" w:themeColor="text1"/>
                </w:rPr>
              </w:pPr>
              <w:r w:rsidRPr="002B4407">
                <w:rPr>
                  <w:rFonts w:ascii="Times New Roman" w:hAnsi="Times New Roman" w:cs="Times New Roman"/>
                  <w:color w:val="000000" w:themeColor="text1"/>
                </w:rPr>
                <w:t>Zoukis, C. (August, 2015). Pell grants for prisoners: New bill restores hope of reinstating</w:t>
              </w:r>
              <w:r w:rsidRPr="002B4407">
                <w:rPr>
                  <w:rFonts w:ascii="Times New Roman" w:hAnsi="Times New Roman" w:cs="Times New Roman"/>
                  <w:color w:val="000000" w:themeColor="text1"/>
                </w:rPr>
                <w:tab/>
                <w:t>college</w:t>
              </w:r>
              <w:r w:rsidRPr="002B4407">
                <w:rPr>
                  <w:rFonts w:ascii="Times New Roman" w:hAnsi="Times New Roman" w:cs="Times New Roman"/>
                  <w:color w:val="000000" w:themeColor="text1"/>
                </w:rPr>
                <w:tab/>
                <w:t xml:space="preserve">programs. </w:t>
              </w:r>
              <w:r w:rsidRPr="002B4407">
                <w:rPr>
                  <w:rFonts w:ascii="Times New Roman" w:hAnsi="Times New Roman" w:cs="Times New Roman"/>
                  <w:i/>
                  <w:color w:val="000000" w:themeColor="text1"/>
                </w:rPr>
                <w:t>Prison legal news.</w:t>
              </w:r>
              <w:r w:rsidRPr="002B4407">
                <w:rPr>
                  <w:rFonts w:ascii="Times New Roman" w:hAnsi="Times New Roman" w:cs="Times New Roman"/>
                  <w:color w:val="000000" w:themeColor="text1"/>
                </w:rPr>
                <w:t xml:space="preserve"> Retrieved from</w:t>
              </w:r>
              <w:r w:rsidRPr="002B4407">
                <w:rPr>
                  <w:rFonts w:ascii="Times New Roman" w:hAnsi="Times New Roman" w:cs="Times New Roman"/>
                  <w:color w:val="000000" w:themeColor="text1"/>
                </w:rPr>
                <w:tab/>
              </w:r>
              <w:hyperlink r:id="rId12" w:history="1">
                <w:r w:rsidRPr="002B4407">
                  <w:rPr>
                    <w:rStyle w:val="Hyperlink"/>
                    <w:rFonts w:ascii="Times New Roman" w:hAnsi="Times New Roman" w:cs="Times New Roman"/>
                    <w:color w:val="000000" w:themeColor="text1"/>
                  </w:rPr>
                  <w:t>https://www.prisonlegalnews.org/news/2015/jul/31/pell-grants-prisoners-new-bill</w:t>
                </w:r>
              </w:hyperlink>
              <w:r w:rsidRPr="002B4407">
                <w:rPr>
                  <w:rFonts w:ascii="Times New Roman" w:hAnsi="Times New Roman" w:cs="Times New Roman"/>
                  <w:color w:val="000000" w:themeColor="text1"/>
                </w:rPr>
                <w:tab/>
                <w:t>restores-hope-reinstating-college-programs/</w:t>
              </w:r>
            </w:p>
            <w:p w14:paraId="20771EDF" w14:textId="77777777" w:rsidR="001E0204" w:rsidRPr="002B4407" w:rsidRDefault="001E0204" w:rsidP="002B4407">
              <w:pPr>
                <w:rPr>
                  <w:rFonts w:ascii="Times New Roman" w:hAnsi="Times New Roman" w:cs="Times New Roman"/>
                </w:rPr>
              </w:pPr>
            </w:p>
            <w:p w14:paraId="7DD77670" w14:textId="7C8B103A" w:rsidR="00F956CF" w:rsidRPr="002B4407" w:rsidRDefault="00F956CF" w:rsidP="004D0AD5">
              <w:pPr>
                <w:rPr>
                  <w:rFonts w:ascii="Times New Roman" w:hAnsi="Times New Roman" w:cs="Times New Roman"/>
                </w:rPr>
              </w:pPr>
              <w:r w:rsidRPr="002B4407">
                <w:rPr>
                  <w:rFonts w:ascii="Times New Roman" w:hAnsi="Times New Roman" w:cs="Times New Roman"/>
                  <w:b/>
                  <w:bCs/>
                  <w:noProof/>
                </w:rPr>
                <w:fldChar w:fldCharType="end"/>
              </w:r>
            </w:p>
          </w:sdtContent>
        </w:sdt>
      </w:sdtContent>
    </w:sdt>
    <w:p w14:paraId="2CC3CF0F" w14:textId="77777777" w:rsidR="00F956CF" w:rsidRPr="002B4407" w:rsidRDefault="00F956CF">
      <w:pPr>
        <w:contextualSpacing/>
        <w:rPr>
          <w:rFonts w:ascii="Times New Roman" w:hAnsi="Times New Roman" w:cs="Times New Roman"/>
        </w:rPr>
      </w:pPr>
    </w:p>
    <w:sectPr w:rsidR="00F956CF" w:rsidRPr="002B4407" w:rsidSect="00B02865">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19486D" w14:textId="77777777" w:rsidR="00F51DC2" w:rsidRDefault="00F51DC2" w:rsidP="007F488B">
      <w:r>
        <w:separator/>
      </w:r>
    </w:p>
  </w:endnote>
  <w:endnote w:type="continuationSeparator" w:id="0">
    <w:p w14:paraId="22FFF865" w14:textId="77777777" w:rsidR="00F51DC2" w:rsidRDefault="00F51DC2" w:rsidP="007F488B">
      <w:r>
        <w:continuationSeparator/>
      </w:r>
    </w:p>
  </w:endnote>
  <w:endnote w:type="continuationNotice" w:id="1">
    <w:p w14:paraId="15B4BA63" w14:textId="77777777" w:rsidR="00F51DC2" w:rsidRDefault="00F51D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游ゴシック Light">
    <w:panose1 w:val="00000000000000000000"/>
    <w:charset w:val="80"/>
    <w:family w:val="roman"/>
    <w:notTrueType/>
    <w:pitch w:val="default"/>
  </w:font>
  <w:font w:name="Segoe UI">
    <w:panose1 w:val="020B0502040204020203"/>
    <w:charset w:val="00"/>
    <w:family w:val="swiss"/>
    <w:pitch w:val="variable"/>
    <w:sig w:usb0="E10022FF" w:usb1="C000E47F" w:usb2="00000029" w:usb3="00000000" w:csb0="000001D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9916665"/>
      <w:docPartObj>
        <w:docPartGallery w:val="Page Numbers (Bottom of Page)"/>
        <w:docPartUnique/>
      </w:docPartObj>
    </w:sdtPr>
    <w:sdtEndPr>
      <w:rPr>
        <w:noProof/>
      </w:rPr>
    </w:sdtEndPr>
    <w:sdtContent>
      <w:p w14:paraId="63E7BB1C" w14:textId="0412C7BD" w:rsidR="002800BE" w:rsidRDefault="002800BE">
        <w:pPr>
          <w:pStyle w:val="Footer"/>
          <w:jc w:val="right"/>
        </w:pPr>
        <w:r>
          <w:fldChar w:fldCharType="begin"/>
        </w:r>
        <w:r>
          <w:instrText xml:space="preserve"> PAGE   \* MERGEFORMAT </w:instrText>
        </w:r>
        <w:r>
          <w:fldChar w:fldCharType="separate"/>
        </w:r>
        <w:r w:rsidR="004634A7">
          <w:rPr>
            <w:noProof/>
          </w:rPr>
          <w:t>1</w:t>
        </w:r>
        <w:r>
          <w:rPr>
            <w:noProof/>
          </w:rPr>
          <w:fldChar w:fldCharType="end"/>
        </w:r>
      </w:p>
    </w:sdtContent>
  </w:sdt>
  <w:p w14:paraId="39AE85CD" w14:textId="6BCD7BE9" w:rsidR="002B4407" w:rsidRPr="002B4407" w:rsidRDefault="002B4407" w:rsidP="002B4407">
    <w:pPr>
      <w:pStyle w:val="Footer"/>
      <w:rPr>
        <w:rFonts w:ascii="Times New Roman" w:hAnsi="Times New Roman" w:cs="Times New Roman"/>
        <w:sz w:val="22"/>
        <w:szCs w:val="22"/>
      </w:rPr>
    </w:pPr>
  </w:p>
  <w:p w14:paraId="42947722" w14:textId="375D4EF8" w:rsidR="002B4407" w:rsidRPr="00B02865" w:rsidRDefault="002B4407" w:rsidP="002B4407">
    <w:pPr>
      <w:rPr>
        <w:rFonts w:ascii="Times New Roman" w:eastAsia="Times New Roman" w:hAnsi="Times New Roman" w:cs="Times New Roman"/>
        <w:b/>
        <w:i/>
        <w:sz w:val="22"/>
        <w:szCs w:val="22"/>
      </w:rPr>
    </w:pPr>
    <w:r w:rsidRPr="00B02865">
      <w:rPr>
        <w:rFonts w:ascii="Times New Roman" w:eastAsia="Times New Roman" w:hAnsi="Times New Roman" w:cs="Times New Roman"/>
        <w:b/>
        <w:i/>
        <w:sz w:val="22"/>
        <w:szCs w:val="22"/>
      </w:rPr>
      <w:t xml:space="preserve">In Consideration of Reinstating Pell for Incarcerated Students, </w:t>
    </w:r>
    <w:r w:rsidRPr="00B02865">
      <w:rPr>
        <w:rFonts w:ascii="Times New Roman" w:eastAsia="Times New Roman" w:hAnsi="Times New Roman" w:cs="Times New Roman"/>
        <w:b/>
        <w:sz w:val="22"/>
        <w:szCs w:val="22"/>
      </w:rPr>
      <w:t>September 25, 2018</w:t>
    </w:r>
  </w:p>
  <w:p w14:paraId="1A980672" w14:textId="7B94B6CD" w:rsidR="006F0682" w:rsidRPr="00B02865" w:rsidRDefault="002B4407" w:rsidP="002B4407">
    <w:pPr>
      <w:spacing w:after="160"/>
      <w:rPr>
        <w:rFonts w:ascii="Times New Roman" w:hAnsi="Times New Roman" w:cs="Times New Roman"/>
        <w:b/>
        <w:sz w:val="22"/>
        <w:szCs w:val="22"/>
      </w:rPr>
    </w:pPr>
    <w:r w:rsidRPr="00B02865">
      <w:rPr>
        <w:rFonts w:ascii="Times New Roman" w:hAnsi="Times New Roman" w:cs="Times New Roman"/>
        <w:b/>
        <w:sz w:val="22"/>
        <w:szCs w:val="22"/>
      </w:rPr>
      <w:t>Working paper for the UCLA Civil Rights Project</w:t>
    </w:r>
    <w:r w:rsidR="006F0682" w:rsidRPr="00B02865">
      <w:rPr>
        <w:rFonts w:ascii="Times New Roman" w:hAnsi="Times New Roman" w:cs="Times New Roman"/>
        <w:b/>
        <w:sz w:val="22"/>
        <w:szCs w:val="22"/>
      </w:rPr>
      <w:t>, www.civilrightsproject.ucla.edu</w:t>
    </w:r>
  </w:p>
  <w:p w14:paraId="39063F48" w14:textId="77777777" w:rsidR="002B4407" w:rsidRDefault="002B44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3C105B" w14:textId="77777777" w:rsidR="00F51DC2" w:rsidRDefault="00F51DC2" w:rsidP="007F488B">
      <w:r>
        <w:separator/>
      </w:r>
    </w:p>
  </w:footnote>
  <w:footnote w:type="continuationSeparator" w:id="0">
    <w:p w14:paraId="3A4EDAD3" w14:textId="77777777" w:rsidR="00F51DC2" w:rsidRDefault="00F51DC2" w:rsidP="007F488B">
      <w:r>
        <w:continuationSeparator/>
      </w:r>
    </w:p>
  </w:footnote>
  <w:footnote w:type="continuationNotice" w:id="1">
    <w:p w14:paraId="38881A3B" w14:textId="77777777" w:rsidR="00F51DC2" w:rsidRDefault="00F51DC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6503D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7862F41"/>
    <w:multiLevelType w:val="hybridMultilevel"/>
    <w:tmpl w:val="86202034"/>
    <w:lvl w:ilvl="0" w:tplc="3208B796">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4410F9"/>
    <w:multiLevelType w:val="hybridMultilevel"/>
    <w:tmpl w:val="0A2C7DF2"/>
    <w:lvl w:ilvl="0" w:tplc="3872F2F4">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330" w:hanging="360"/>
      </w:pPr>
    </w:lvl>
    <w:lvl w:ilvl="5" w:tplc="0409001B">
      <w:start w:val="1"/>
      <w:numFmt w:val="lowerRoman"/>
      <w:lvlText w:val="%6."/>
      <w:lvlJc w:val="right"/>
      <w:pPr>
        <w:ind w:left="3600" w:hanging="180"/>
      </w:pPr>
    </w:lvl>
    <w:lvl w:ilvl="6" w:tplc="0409000F">
      <w:start w:val="1"/>
      <w:numFmt w:val="decimal"/>
      <w:lvlText w:val="%7."/>
      <w:lvlJc w:val="left"/>
      <w:pPr>
        <w:ind w:left="333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AEC"/>
    <w:rsid w:val="0000387E"/>
    <w:rsid w:val="0001380B"/>
    <w:rsid w:val="000166E9"/>
    <w:rsid w:val="00016C86"/>
    <w:rsid w:val="0002185E"/>
    <w:rsid w:val="00022F90"/>
    <w:rsid w:val="00027FBC"/>
    <w:rsid w:val="00041B67"/>
    <w:rsid w:val="000462FB"/>
    <w:rsid w:val="00047FDE"/>
    <w:rsid w:val="000514C1"/>
    <w:rsid w:val="00052442"/>
    <w:rsid w:val="00060C5C"/>
    <w:rsid w:val="000643C4"/>
    <w:rsid w:val="000675AC"/>
    <w:rsid w:val="00077C0C"/>
    <w:rsid w:val="000840D2"/>
    <w:rsid w:val="00091DC6"/>
    <w:rsid w:val="000924C9"/>
    <w:rsid w:val="00096D96"/>
    <w:rsid w:val="000A308C"/>
    <w:rsid w:val="000A3612"/>
    <w:rsid w:val="000A3ACF"/>
    <w:rsid w:val="000B1273"/>
    <w:rsid w:val="000B5EE0"/>
    <w:rsid w:val="000C2692"/>
    <w:rsid w:val="000C27FB"/>
    <w:rsid w:val="000C4948"/>
    <w:rsid w:val="000D6950"/>
    <w:rsid w:val="000D6AC4"/>
    <w:rsid w:val="000D7A34"/>
    <w:rsid w:val="000E576F"/>
    <w:rsid w:val="000E7C29"/>
    <w:rsid w:val="000F096B"/>
    <w:rsid w:val="000F187A"/>
    <w:rsid w:val="001010BF"/>
    <w:rsid w:val="001030D1"/>
    <w:rsid w:val="00103B1F"/>
    <w:rsid w:val="00105243"/>
    <w:rsid w:val="00111647"/>
    <w:rsid w:val="00112AD3"/>
    <w:rsid w:val="00114D49"/>
    <w:rsid w:val="00117751"/>
    <w:rsid w:val="00121FAA"/>
    <w:rsid w:val="00124EF0"/>
    <w:rsid w:val="00125572"/>
    <w:rsid w:val="00130F88"/>
    <w:rsid w:val="00133EE7"/>
    <w:rsid w:val="001420DF"/>
    <w:rsid w:val="00146E04"/>
    <w:rsid w:val="0015403A"/>
    <w:rsid w:val="00155514"/>
    <w:rsid w:val="00156C86"/>
    <w:rsid w:val="00162CF2"/>
    <w:rsid w:val="00164904"/>
    <w:rsid w:val="00166C84"/>
    <w:rsid w:val="00167926"/>
    <w:rsid w:val="001725E4"/>
    <w:rsid w:val="00172A2A"/>
    <w:rsid w:val="00181324"/>
    <w:rsid w:val="001849C9"/>
    <w:rsid w:val="00192CD8"/>
    <w:rsid w:val="00195DE3"/>
    <w:rsid w:val="0019778C"/>
    <w:rsid w:val="001A6AD2"/>
    <w:rsid w:val="001B0606"/>
    <w:rsid w:val="001C6AE6"/>
    <w:rsid w:val="001C7DB8"/>
    <w:rsid w:val="001D0A62"/>
    <w:rsid w:val="001D1020"/>
    <w:rsid w:val="001D3149"/>
    <w:rsid w:val="001D56E0"/>
    <w:rsid w:val="001E0204"/>
    <w:rsid w:val="001E1C04"/>
    <w:rsid w:val="001E52A5"/>
    <w:rsid w:val="001F108E"/>
    <w:rsid w:val="001F444A"/>
    <w:rsid w:val="001F60FD"/>
    <w:rsid w:val="001F6F99"/>
    <w:rsid w:val="00200594"/>
    <w:rsid w:val="00202948"/>
    <w:rsid w:val="002076D0"/>
    <w:rsid w:val="00212623"/>
    <w:rsid w:val="00212701"/>
    <w:rsid w:val="002177B0"/>
    <w:rsid w:val="0021798E"/>
    <w:rsid w:val="0023163C"/>
    <w:rsid w:val="00232732"/>
    <w:rsid w:val="002329C6"/>
    <w:rsid w:val="002344D6"/>
    <w:rsid w:val="00242639"/>
    <w:rsid w:val="002435C1"/>
    <w:rsid w:val="00245940"/>
    <w:rsid w:val="00250B0F"/>
    <w:rsid w:val="002530D6"/>
    <w:rsid w:val="002532BD"/>
    <w:rsid w:val="002577DE"/>
    <w:rsid w:val="002607AD"/>
    <w:rsid w:val="00262388"/>
    <w:rsid w:val="00262CE0"/>
    <w:rsid w:val="002800BE"/>
    <w:rsid w:val="00283991"/>
    <w:rsid w:val="00283EBB"/>
    <w:rsid w:val="002841E1"/>
    <w:rsid w:val="002902CE"/>
    <w:rsid w:val="002907B6"/>
    <w:rsid w:val="00296817"/>
    <w:rsid w:val="002971D4"/>
    <w:rsid w:val="002A368F"/>
    <w:rsid w:val="002A4D16"/>
    <w:rsid w:val="002A5ABD"/>
    <w:rsid w:val="002B1015"/>
    <w:rsid w:val="002B4407"/>
    <w:rsid w:val="002B5482"/>
    <w:rsid w:val="002B777C"/>
    <w:rsid w:val="002C0E4C"/>
    <w:rsid w:val="002C3122"/>
    <w:rsid w:val="002C4E1E"/>
    <w:rsid w:val="002C5640"/>
    <w:rsid w:val="002D0599"/>
    <w:rsid w:val="002D1C5A"/>
    <w:rsid w:val="002D3C98"/>
    <w:rsid w:val="002E3217"/>
    <w:rsid w:val="002F2052"/>
    <w:rsid w:val="002F588A"/>
    <w:rsid w:val="00300A77"/>
    <w:rsid w:val="00310D95"/>
    <w:rsid w:val="00311BB8"/>
    <w:rsid w:val="00313D4E"/>
    <w:rsid w:val="0031408E"/>
    <w:rsid w:val="00321C61"/>
    <w:rsid w:val="00322ADE"/>
    <w:rsid w:val="00323E32"/>
    <w:rsid w:val="00326452"/>
    <w:rsid w:val="0033388E"/>
    <w:rsid w:val="00335208"/>
    <w:rsid w:val="00337F19"/>
    <w:rsid w:val="00344BFB"/>
    <w:rsid w:val="00344F2A"/>
    <w:rsid w:val="00345531"/>
    <w:rsid w:val="003500E8"/>
    <w:rsid w:val="00351B6F"/>
    <w:rsid w:val="003521C8"/>
    <w:rsid w:val="00353CA4"/>
    <w:rsid w:val="0035719E"/>
    <w:rsid w:val="003621F4"/>
    <w:rsid w:val="00363BC0"/>
    <w:rsid w:val="00364311"/>
    <w:rsid w:val="00364515"/>
    <w:rsid w:val="003663B8"/>
    <w:rsid w:val="00373653"/>
    <w:rsid w:val="003800F5"/>
    <w:rsid w:val="00384429"/>
    <w:rsid w:val="003A2AEB"/>
    <w:rsid w:val="003A3338"/>
    <w:rsid w:val="003A6548"/>
    <w:rsid w:val="003A65BB"/>
    <w:rsid w:val="003B3428"/>
    <w:rsid w:val="003B3B7F"/>
    <w:rsid w:val="003C30BA"/>
    <w:rsid w:val="003C5ACB"/>
    <w:rsid w:val="003C7A64"/>
    <w:rsid w:val="003D3228"/>
    <w:rsid w:val="003D6EE9"/>
    <w:rsid w:val="003E240B"/>
    <w:rsid w:val="003E3632"/>
    <w:rsid w:val="003E465A"/>
    <w:rsid w:val="003E5F99"/>
    <w:rsid w:val="003F009D"/>
    <w:rsid w:val="003F6B89"/>
    <w:rsid w:val="00400B84"/>
    <w:rsid w:val="00400E46"/>
    <w:rsid w:val="0040140E"/>
    <w:rsid w:val="00417290"/>
    <w:rsid w:val="0041782B"/>
    <w:rsid w:val="0042134B"/>
    <w:rsid w:val="004219FA"/>
    <w:rsid w:val="004232BF"/>
    <w:rsid w:val="0042483F"/>
    <w:rsid w:val="00427505"/>
    <w:rsid w:val="004275C4"/>
    <w:rsid w:val="00430433"/>
    <w:rsid w:val="00434984"/>
    <w:rsid w:val="00434FBF"/>
    <w:rsid w:val="00437C13"/>
    <w:rsid w:val="004405C2"/>
    <w:rsid w:val="0044357C"/>
    <w:rsid w:val="00444BF0"/>
    <w:rsid w:val="00446222"/>
    <w:rsid w:val="004468F0"/>
    <w:rsid w:val="00454547"/>
    <w:rsid w:val="00455385"/>
    <w:rsid w:val="00456DFB"/>
    <w:rsid w:val="004634A7"/>
    <w:rsid w:val="0047493C"/>
    <w:rsid w:val="00476D9C"/>
    <w:rsid w:val="004779AD"/>
    <w:rsid w:val="00485530"/>
    <w:rsid w:val="00490030"/>
    <w:rsid w:val="004900AF"/>
    <w:rsid w:val="00491E6C"/>
    <w:rsid w:val="004A21D3"/>
    <w:rsid w:val="004A2996"/>
    <w:rsid w:val="004A42E7"/>
    <w:rsid w:val="004A7656"/>
    <w:rsid w:val="004B4AA9"/>
    <w:rsid w:val="004C0755"/>
    <w:rsid w:val="004C3B4A"/>
    <w:rsid w:val="004C5D08"/>
    <w:rsid w:val="004D0AD5"/>
    <w:rsid w:val="004D7781"/>
    <w:rsid w:val="004E2CE2"/>
    <w:rsid w:val="004E3715"/>
    <w:rsid w:val="004E6179"/>
    <w:rsid w:val="00502947"/>
    <w:rsid w:val="00512302"/>
    <w:rsid w:val="00513B3D"/>
    <w:rsid w:val="00514CC1"/>
    <w:rsid w:val="00517C1B"/>
    <w:rsid w:val="005240D2"/>
    <w:rsid w:val="00532E5A"/>
    <w:rsid w:val="00534DF2"/>
    <w:rsid w:val="00535A27"/>
    <w:rsid w:val="00555E2F"/>
    <w:rsid w:val="00562D32"/>
    <w:rsid w:val="00567F6C"/>
    <w:rsid w:val="00572B27"/>
    <w:rsid w:val="00581703"/>
    <w:rsid w:val="00583660"/>
    <w:rsid w:val="00584A8C"/>
    <w:rsid w:val="00587EAE"/>
    <w:rsid w:val="0059263A"/>
    <w:rsid w:val="005942FB"/>
    <w:rsid w:val="00596DBC"/>
    <w:rsid w:val="005A2D38"/>
    <w:rsid w:val="005A3CC8"/>
    <w:rsid w:val="005B5336"/>
    <w:rsid w:val="005B7D22"/>
    <w:rsid w:val="005C0E1D"/>
    <w:rsid w:val="005C63DF"/>
    <w:rsid w:val="005D4906"/>
    <w:rsid w:val="005E0BF4"/>
    <w:rsid w:val="005F5798"/>
    <w:rsid w:val="00604843"/>
    <w:rsid w:val="00610454"/>
    <w:rsid w:val="006104C5"/>
    <w:rsid w:val="00611569"/>
    <w:rsid w:val="00611F91"/>
    <w:rsid w:val="0061247A"/>
    <w:rsid w:val="00623488"/>
    <w:rsid w:val="00624EB7"/>
    <w:rsid w:val="006268BE"/>
    <w:rsid w:val="006315DA"/>
    <w:rsid w:val="00633A58"/>
    <w:rsid w:val="00643E9B"/>
    <w:rsid w:val="00644B0D"/>
    <w:rsid w:val="00647C79"/>
    <w:rsid w:val="00652AE8"/>
    <w:rsid w:val="00654DAD"/>
    <w:rsid w:val="00657080"/>
    <w:rsid w:val="00677FA9"/>
    <w:rsid w:val="006811DB"/>
    <w:rsid w:val="00682E66"/>
    <w:rsid w:val="006915C4"/>
    <w:rsid w:val="006916AA"/>
    <w:rsid w:val="0069280C"/>
    <w:rsid w:val="00693E49"/>
    <w:rsid w:val="006A3EF6"/>
    <w:rsid w:val="006A6144"/>
    <w:rsid w:val="006B0236"/>
    <w:rsid w:val="006B08F9"/>
    <w:rsid w:val="006B0D04"/>
    <w:rsid w:val="006B2833"/>
    <w:rsid w:val="006B285F"/>
    <w:rsid w:val="006B64D6"/>
    <w:rsid w:val="006B69BE"/>
    <w:rsid w:val="006C15D2"/>
    <w:rsid w:val="006C2F98"/>
    <w:rsid w:val="006C45C3"/>
    <w:rsid w:val="006D1E51"/>
    <w:rsid w:val="006D4024"/>
    <w:rsid w:val="006E02A1"/>
    <w:rsid w:val="006F0682"/>
    <w:rsid w:val="006F1C40"/>
    <w:rsid w:val="006F77E8"/>
    <w:rsid w:val="006F7BAE"/>
    <w:rsid w:val="00700459"/>
    <w:rsid w:val="00701F2D"/>
    <w:rsid w:val="00703D62"/>
    <w:rsid w:val="007055D4"/>
    <w:rsid w:val="007127A1"/>
    <w:rsid w:val="00717195"/>
    <w:rsid w:val="00721BC4"/>
    <w:rsid w:val="0073741B"/>
    <w:rsid w:val="0073769E"/>
    <w:rsid w:val="00737787"/>
    <w:rsid w:val="00737CC1"/>
    <w:rsid w:val="00742212"/>
    <w:rsid w:val="00743F37"/>
    <w:rsid w:val="00744C2C"/>
    <w:rsid w:val="007451D6"/>
    <w:rsid w:val="0075233E"/>
    <w:rsid w:val="00754516"/>
    <w:rsid w:val="007559B3"/>
    <w:rsid w:val="00756355"/>
    <w:rsid w:val="00763972"/>
    <w:rsid w:val="0076566E"/>
    <w:rsid w:val="00766EB6"/>
    <w:rsid w:val="00770EEA"/>
    <w:rsid w:val="007722AA"/>
    <w:rsid w:val="00772B90"/>
    <w:rsid w:val="007826F9"/>
    <w:rsid w:val="00784670"/>
    <w:rsid w:val="007920DC"/>
    <w:rsid w:val="00795E12"/>
    <w:rsid w:val="007A25DC"/>
    <w:rsid w:val="007A66D4"/>
    <w:rsid w:val="007B0CE9"/>
    <w:rsid w:val="007C00B3"/>
    <w:rsid w:val="007C705B"/>
    <w:rsid w:val="007D2BE5"/>
    <w:rsid w:val="007D7726"/>
    <w:rsid w:val="007E4B30"/>
    <w:rsid w:val="007E5739"/>
    <w:rsid w:val="007E6EB9"/>
    <w:rsid w:val="007E7D6F"/>
    <w:rsid w:val="007F28D9"/>
    <w:rsid w:val="007F488B"/>
    <w:rsid w:val="007F494C"/>
    <w:rsid w:val="007F780E"/>
    <w:rsid w:val="00804EAA"/>
    <w:rsid w:val="008075A4"/>
    <w:rsid w:val="00817538"/>
    <w:rsid w:val="00817C4D"/>
    <w:rsid w:val="00822385"/>
    <w:rsid w:val="00823C94"/>
    <w:rsid w:val="00840C4F"/>
    <w:rsid w:val="0084203E"/>
    <w:rsid w:val="00846DA9"/>
    <w:rsid w:val="008533C6"/>
    <w:rsid w:val="00855DAA"/>
    <w:rsid w:val="00857F90"/>
    <w:rsid w:val="0086073C"/>
    <w:rsid w:val="00861789"/>
    <w:rsid w:val="0086668B"/>
    <w:rsid w:val="00871FA6"/>
    <w:rsid w:val="00872018"/>
    <w:rsid w:val="00872ABB"/>
    <w:rsid w:val="00872EEF"/>
    <w:rsid w:val="00874B71"/>
    <w:rsid w:val="00880976"/>
    <w:rsid w:val="0088194A"/>
    <w:rsid w:val="008819BF"/>
    <w:rsid w:val="008820D2"/>
    <w:rsid w:val="00884600"/>
    <w:rsid w:val="00886BE7"/>
    <w:rsid w:val="00894E0C"/>
    <w:rsid w:val="0089618B"/>
    <w:rsid w:val="00897AF9"/>
    <w:rsid w:val="008A0177"/>
    <w:rsid w:val="008A0B04"/>
    <w:rsid w:val="008A32A4"/>
    <w:rsid w:val="008A4F57"/>
    <w:rsid w:val="008A6529"/>
    <w:rsid w:val="008A6934"/>
    <w:rsid w:val="008B30A3"/>
    <w:rsid w:val="008B5A7E"/>
    <w:rsid w:val="008C1F83"/>
    <w:rsid w:val="008C3A3C"/>
    <w:rsid w:val="008C5BD5"/>
    <w:rsid w:val="008C729D"/>
    <w:rsid w:val="008C7E68"/>
    <w:rsid w:val="008E04F3"/>
    <w:rsid w:val="008E1BE6"/>
    <w:rsid w:val="008E33A5"/>
    <w:rsid w:val="008F091D"/>
    <w:rsid w:val="008F7D8F"/>
    <w:rsid w:val="0090144B"/>
    <w:rsid w:val="009014A9"/>
    <w:rsid w:val="009017F0"/>
    <w:rsid w:val="0090395C"/>
    <w:rsid w:val="009076F9"/>
    <w:rsid w:val="00907CF1"/>
    <w:rsid w:val="00910F0A"/>
    <w:rsid w:val="00912496"/>
    <w:rsid w:val="00922B32"/>
    <w:rsid w:val="009306DE"/>
    <w:rsid w:val="0094086D"/>
    <w:rsid w:val="00942893"/>
    <w:rsid w:val="00943914"/>
    <w:rsid w:val="009440F7"/>
    <w:rsid w:val="00945E39"/>
    <w:rsid w:val="00950E6C"/>
    <w:rsid w:val="00952BA8"/>
    <w:rsid w:val="00954481"/>
    <w:rsid w:val="00955E5B"/>
    <w:rsid w:val="00956463"/>
    <w:rsid w:val="009609CD"/>
    <w:rsid w:val="009616E6"/>
    <w:rsid w:val="0097194A"/>
    <w:rsid w:val="00971F9C"/>
    <w:rsid w:val="00976A34"/>
    <w:rsid w:val="00992B0C"/>
    <w:rsid w:val="009A1DE6"/>
    <w:rsid w:val="009A53C4"/>
    <w:rsid w:val="009B0730"/>
    <w:rsid w:val="009B0ABB"/>
    <w:rsid w:val="009B20AB"/>
    <w:rsid w:val="009B2B56"/>
    <w:rsid w:val="009C0364"/>
    <w:rsid w:val="009C1803"/>
    <w:rsid w:val="009C1BAC"/>
    <w:rsid w:val="009C41DC"/>
    <w:rsid w:val="009D1D47"/>
    <w:rsid w:val="009D271A"/>
    <w:rsid w:val="009D5047"/>
    <w:rsid w:val="009D6E7F"/>
    <w:rsid w:val="009F6665"/>
    <w:rsid w:val="009F6745"/>
    <w:rsid w:val="00A10D8A"/>
    <w:rsid w:val="00A10E71"/>
    <w:rsid w:val="00A11020"/>
    <w:rsid w:val="00A1439C"/>
    <w:rsid w:val="00A158EB"/>
    <w:rsid w:val="00A353FD"/>
    <w:rsid w:val="00A4579F"/>
    <w:rsid w:val="00A472EE"/>
    <w:rsid w:val="00A63E07"/>
    <w:rsid w:val="00A712F0"/>
    <w:rsid w:val="00A72827"/>
    <w:rsid w:val="00A74CE8"/>
    <w:rsid w:val="00A74F2F"/>
    <w:rsid w:val="00A8081D"/>
    <w:rsid w:val="00A82FB0"/>
    <w:rsid w:val="00A83DB2"/>
    <w:rsid w:val="00A84EDE"/>
    <w:rsid w:val="00A85699"/>
    <w:rsid w:val="00A864EA"/>
    <w:rsid w:val="00A9103D"/>
    <w:rsid w:val="00A91DDC"/>
    <w:rsid w:val="00AA0623"/>
    <w:rsid w:val="00AA4FA2"/>
    <w:rsid w:val="00AB10A7"/>
    <w:rsid w:val="00AB49BE"/>
    <w:rsid w:val="00AB4D19"/>
    <w:rsid w:val="00AB7A92"/>
    <w:rsid w:val="00AC19DA"/>
    <w:rsid w:val="00AC2CF8"/>
    <w:rsid w:val="00AC5A17"/>
    <w:rsid w:val="00AD4504"/>
    <w:rsid w:val="00AD7226"/>
    <w:rsid w:val="00AD7A13"/>
    <w:rsid w:val="00AD7B99"/>
    <w:rsid w:val="00AE1EFB"/>
    <w:rsid w:val="00AE520B"/>
    <w:rsid w:val="00AE6961"/>
    <w:rsid w:val="00AE799F"/>
    <w:rsid w:val="00AF05E4"/>
    <w:rsid w:val="00AF1A28"/>
    <w:rsid w:val="00AF4F46"/>
    <w:rsid w:val="00AF622D"/>
    <w:rsid w:val="00AF709D"/>
    <w:rsid w:val="00AF75F7"/>
    <w:rsid w:val="00B02865"/>
    <w:rsid w:val="00B02FA5"/>
    <w:rsid w:val="00B04D1C"/>
    <w:rsid w:val="00B06C05"/>
    <w:rsid w:val="00B10562"/>
    <w:rsid w:val="00B14B3D"/>
    <w:rsid w:val="00B212FE"/>
    <w:rsid w:val="00B22C4B"/>
    <w:rsid w:val="00B244EA"/>
    <w:rsid w:val="00B266F5"/>
    <w:rsid w:val="00B31189"/>
    <w:rsid w:val="00B330E1"/>
    <w:rsid w:val="00B3519D"/>
    <w:rsid w:val="00B362EF"/>
    <w:rsid w:val="00B463F6"/>
    <w:rsid w:val="00B4680A"/>
    <w:rsid w:val="00B47772"/>
    <w:rsid w:val="00B52350"/>
    <w:rsid w:val="00B541AA"/>
    <w:rsid w:val="00B544C9"/>
    <w:rsid w:val="00B56CA1"/>
    <w:rsid w:val="00B56E2C"/>
    <w:rsid w:val="00B65577"/>
    <w:rsid w:val="00B71EC5"/>
    <w:rsid w:val="00B828F7"/>
    <w:rsid w:val="00B83992"/>
    <w:rsid w:val="00B850BF"/>
    <w:rsid w:val="00B8617D"/>
    <w:rsid w:val="00B934E4"/>
    <w:rsid w:val="00B95BBF"/>
    <w:rsid w:val="00B960BE"/>
    <w:rsid w:val="00BA157C"/>
    <w:rsid w:val="00BA6282"/>
    <w:rsid w:val="00BB131B"/>
    <w:rsid w:val="00BB245B"/>
    <w:rsid w:val="00BB3F96"/>
    <w:rsid w:val="00BB6F86"/>
    <w:rsid w:val="00BD0D7B"/>
    <w:rsid w:val="00BD23FE"/>
    <w:rsid w:val="00BD7899"/>
    <w:rsid w:val="00BE3FE3"/>
    <w:rsid w:val="00BF12A2"/>
    <w:rsid w:val="00BF2C97"/>
    <w:rsid w:val="00BF30EE"/>
    <w:rsid w:val="00BF690C"/>
    <w:rsid w:val="00BF6A72"/>
    <w:rsid w:val="00C039B3"/>
    <w:rsid w:val="00C05163"/>
    <w:rsid w:val="00C05869"/>
    <w:rsid w:val="00C072D3"/>
    <w:rsid w:val="00C11321"/>
    <w:rsid w:val="00C16259"/>
    <w:rsid w:val="00C16393"/>
    <w:rsid w:val="00C20958"/>
    <w:rsid w:val="00C23BEE"/>
    <w:rsid w:val="00C273F7"/>
    <w:rsid w:val="00C36BA7"/>
    <w:rsid w:val="00C50761"/>
    <w:rsid w:val="00C51E79"/>
    <w:rsid w:val="00C54BF4"/>
    <w:rsid w:val="00C724AB"/>
    <w:rsid w:val="00C764B1"/>
    <w:rsid w:val="00C91E89"/>
    <w:rsid w:val="00CA01CA"/>
    <w:rsid w:val="00CA06BC"/>
    <w:rsid w:val="00CA14C8"/>
    <w:rsid w:val="00CA1C3C"/>
    <w:rsid w:val="00CA474B"/>
    <w:rsid w:val="00CA653C"/>
    <w:rsid w:val="00CA738C"/>
    <w:rsid w:val="00CA7C49"/>
    <w:rsid w:val="00CB22F4"/>
    <w:rsid w:val="00CB2C8C"/>
    <w:rsid w:val="00CB5583"/>
    <w:rsid w:val="00CB753F"/>
    <w:rsid w:val="00CC2BB9"/>
    <w:rsid w:val="00CC3E6D"/>
    <w:rsid w:val="00CC4264"/>
    <w:rsid w:val="00CD0572"/>
    <w:rsid w:val="00CF04BF"/>
    <w:rsid w:val="00CF1446"/>
    <w:rsid w:val="00CF4853"/>
    <w:rsid w:val="00CF5FE6"/>
    <w:rsid w:val="00CF7CED"/>
    <w:rsid w:val="00D03529"/>
    <w:rsid w:val="00D06D2A"/>
    <w:rsid w:val="00D07D21"/>
    <w:rsid w:val="00D15E5E"/>
    <w:rsid w:val="00D26D3B"/>
    <w:rsid w:val="00D30409"/>
    <w:rsid w:val="00D348C8"/>
    <w:rsid w:val="00D3520C"/>
    <w:rsid w:val="00D37AB7"/>
    <w:rsid w:val="00D42A67"/>
    <w:rsid w:val="00D44B8B"/>
    <w:rsid w:val="00D575AF"/>
    <w:rsid w:val="00D65177"/>
    <w:rsid w:val="00D747A3"/>
    <w:rsid w:val="00D763CB"/>
    <w:rsid w:val="00D80C17"/>
    <w:rsid w:val="00D827EB"/>
    <w:rsid w:val="00D91193"/>
    <w:rsid w:val="00D92F90"/>
    <w:rsid w:val="00D9382F"/>
    <w:rsid w:val="00D9778A"/>
    <w:rsid w:val="00DA0C53"/>
    <w:rsid w:val="00DA54D6"/>
    <w:rsid w:val="00DA5E61"/>
    <w:rsid w:val="00DB3540"/>
    <w:rsid w:val="00DB4638"/>
    <w:rsid w:val="00DC13E1"/>
    <w:rsid w:val="00DC25B7"/>
    <w:rsid w:val="00DD56B4"/>
    <w:rsid w:val="00DE0116"/>
    <w:rsid w:val="00DE1EFB"/>
    <w:rsid w:val="00DE5A81"/>
    <w:rsid w:val="00DE5AEC"/>
    <w:rsid w:val="00DE767E"/>
    <w:rsid w:val="00DE7737"/>
    <w:rsid w:val="00DE7E0B"/>
    <w:rsid w:val="00E02847"/>
    <w:rsid w:val="00E04194"/>
    <w:rsid w:val="00E052AE"/>
    <w:rsid w:val="00E06293"/>
    <w:rsid w:val="00E12CB5"/>
    <w:rsid w:val="00E1432A"/>
    <w:rsid w:val="00E15A60"/>
    <w:rsid w:val="00E16E72"/>
    <w:rsid w:val="00E17DDD"/>
    <w:rsid w:val="00E20718"/>
    <w:rsid w:val="00E217E8"/>
    <w:rsid w:val="00E23CB1"/>
    <w:rsid w:val="00E2533C"/>
    <w:rsid w:val="00E25BBB"/>
    <w:rsid w:val="00E25DB1"/>
    <w:rsid w:val="00E26F70"/>
    <w:rsid w:val="00E46CD2"/>
    <w:rsid w:val="00E5441B"/>
    <w:rsid w:val="00E575F7"/>
    <w:rsid w:val="00E6127A"/>
    <w:rsid w:val="00E63397"/>
    <w:rsid w:val="00E72049"/>
    <w:rsid w:val="00E72230"/>
    <w:rsid w:val="00E744D9"/>
    <w:rsid w:val="00E74B78"/>
    <w:rsid w:val="00E74BFA"/>
    <w:rsid w:val="00E87765"/>
    <w:rsid w:val="00E9630E"/>
    <w:rsid w:val="00EA3111"/>
    <w:rsid w:val="00EA3542"/>
    <w:rsid w:val="00EB1E0C"/>
    <w:rsid w:val="00EB60BA"/>
    <w:rsid w:val="00EC75AE"/>
    <w:rsid w:val="00ED2D42"/>
    <w:rsid w:val="00ED3B91"/>
    <w:rsid w:val="00ED3C40"/>
    <w:rsid w:val="00ED406B"/>
    <w:rsid w:val="00ED47AB"/>
    <w:rsid w:val="00ED492E"/>
    <w:rsid w:val="00ED5048"/>
    <w:rsid w:val="00ED7E02"/>
    <w:rsid w:val="00EE3CE5"/>
    <w:rsid w:val="00EE47AE"/>
    <w:rsid w:val="00EE4E2A"/>
    <w:rsid w:val="00EF134A"/>
    <w:rsid w:val="00EF5A6F"/>
    <w:rsid w:val="00F07631"/>
    <w:rsid w:val="00F14300"/>
    <w:rsid w:val="00F17710"/>
    <w:rsid w:val="00F20527"/>
    <w:rsid w:val="00F23DFF"/>
    <w:rsid w:val="00F23ED3"/>
    <w:rsid w:val="00F2521D"/>
    <w:rsid w:val="00F35782"/>
    <w:rsid w:val="00F357D4"/>
    <w:rsid w:val="00F35EFA"/>
    <w:rsid w:val="00F37292"/>
    <w:rsid w:val="00F377FA"/>
    <w:rsid w:val="00F37BC4"/>
    <w:rsid w:val="00F400EE"/>
    <w:rsid w:val="00F440ED"/>
    <w:rsid w:val="00F51DC2"/>
    <w:rsid w:val="00F55A04"/>
    <w:rsid w:val="00F55DE9"/>
    <w:rsid w:val="00F56A47"/>
    <w:rsid w:val="00F61EF9"/>
    <w:rsid w:val="00F62C3B"/>
    <w:rsid w:val="00F757B4"/>
    <w:rsid w:val="00F75CC8"/>
    <w:rsid w:val="00F777BA"/>
    <w:rsid w:val="00F817B7"/>
    <w:rsid w:val="00F8182A"/>
    <w:rsid w:val="00F85063"/>
    <w:rsid w:val="00F850FC"/>
    <w:rsid w:val="00F956CF"/>
    <w:rsid w:val="00FA072F"/>
    <w:rsid w:val="00FA388F"/>
    <w:rsid w:val="00FA5DDA"/>
    <w:rsid w:val="00FB15B2"/>
    <w:rsid w:val="00FB2551"/>
    <w:rsid w:val="00FC319D"/>
    <w:rsid w:val="00FC7F90"/>
    <w:rsid w:val="00FD29E4"/>
    <w:rsid w:val="00FD4361"/>
    <w:rsid w:val="00FD6E27"/>
    <w:rsid w:val="00FE0C76"/>
    <w:rsid w:val="00FE21E1"/>
    <w:rsid w:val="00FE3E4E"/>
    <w:rsid w:val="00FE6BFA"/>
    <w:rsid w:val="00FE6BFB"/>
    <w:rsid w:val="00FF0215"/>
    <w:rsid w:val="00FF7973"/>
    <w:rsid w:val="00FF7F2D"/>
    <w:rsid w:val="015ACD96"/>
    <w:rsid w:val="01FDB913"/>
    <w:rsid w:val="038CD29B"/>
    <w:rsid w:val="049F4743"/>
    <w:rsid w:val="066FA544"/>
    <w:rsid w:val="06BDEFA8"/>
    <w:rsid w:val="06C9D994"/>
    <w:rsid w:val="08E236F6"/>
    <w:rsid w:val="0B60A139"/>
    <w:rsid w:val="0CF7FF75"/>
    <w:rsid w:val="0D149460"/>
    <w:rsid w:val="0DD12065"/>
    <w:rsid w:val="0EF9C6EA"/>
    <w:rsid w:val="0F457850"/>
    <w:rsid w:val="0FB0A915"/>
    <w:rsid w:val="10A2DEEF"/>
    <w:rsid w:val="1123288C"/>
    <w:rsid w:val="1178BBC5"/>
    <w:rsid w:val="1324BAD8"/>
    <w:rsid w:val="14B7CC0F"/>
    <w:rsid w:val="15C1273B"/>
    <w:rsid w:val="160BB9D0"/>
    <w:rsid w:val="1635835B"/>
    <w:rsid w:val="16CB5623"/>
    <w:rsid w:val="174C53E1"/>
    <w:rsid w:val="17C5B323"/>
    <w:rsid w:val="17F2AE04"/>
    <w:rsid w:val="182BD65B"/>
    <w:rsid w:val="1934AF1B"/>
    <w:rsid w:val="19451C12"/>
    <w:rsid w:val="1A01F514"/>
    <w:rsid w:val="1AA876FE"/>
    <w:rsid w:val="1B7BF789"/>
    <w:rsid w:val="1BC140A4"/>
    <w:rsid w:val="1BE11D6C"/>
    <w:rsid w:val="1D129253"/>
    <w:rsid w:val="1D252D56"/>
    <w:rsid w:val="1F26EE7D"/>
    <w:rsid w:val="1F9B2062"/>
    <w:rsid w:val="20BCE08A"/>
    <w:rsid w:val="20D1CEA6"/>
    <w:rsid w:val="21B6557B"/>
    <w:rsid w:val="2450D54A"/>
    <w:rsid w:val="24D737AA"/>
    <w:rsid w:val="25C2B566"/>
    <w:rsid w:val="25ECAEAE"/>
    <w:rsid w:val="28A57646"/>
    <w:rsid w:val="29357F99"/>
    <w:rsid w:val="2A16C597"/>
    <w:rsid w:val="2B3719EF"/>
    <w:rsid w:val="2C24D38F"/>
    <w:rsid w:val="2C50A4C2"/>
    <w:rsid w:val="2CFEF6BD"/>
    <w:rsid w:val="2D333EEA"/>
    <w:rsid w:val="2F558FB6"/>
    <w:rsid w:val="31AC5A01"/>
    <w:rsid w:val="32041B41"/>
    <w:rsid w:val="323BDE00"/>
    <w:rsid w:val="333B74B4"/>
    <w:rsid w:val="33737870"/>
    <w:rsid w:val="3531AB3B"/>
    <w:rsid w:val="361DF5FA"/>
    <w:rsid w:val="36699BCF"/>
    <w:rsid w:val="38BD9A5E"/>
    <w:rsid w:val="3AF58366"/>
    <w:rsid w:val="3B05CE4B"/>
    <w:rsid w:val="3B1ED682"/>
    <w:rsid w:val="3B96955E"/>
    <w:rsid w:val="3CE23F7D"/>
    <w:rsid w:val="3D32FE46"/>
    <w:rsid w:val="3DCB7156"/>
    <w:rsid w:val="3E5818F3"/>
    <w:rsid w:val="3E701075"/>
    <w:rsid w:val="3EF7E9AF"/>
    <w:rsid w:val="412618C3"/>
    <w:rsid w:val="41EA9584"/>
    <w:rsid w:val="4345109F"/>
    <w:rsid w:val="436590C4"/>
    <w:rsid w:val="43664E17"/>
    <w:rsid w:val="441D61EB"/>
    <w:rsid w:val="444F6B3E"/>
    <w:rsid w:val="44E56629"/>
    <w:rsid w:val="45B1FE85"/>
    <w:rsid w:val="45D7D19C"/>
    <w:rsid w:val="4601EA3F"/>
    <w:rsid w:val="471CEDEF"/>
    <w:rsid w:val="496E05CF"/>
    <w:rsid w:val="4BA47707"/>
    <w:rsid w:val="4CDAD309"/>
    <w:rsid w:val="4D29C01C"/>
    <w:rsid w:val="50A50871"/>
    <w:rsid w:val="53DFDF88"/>
    <w:rsid w:val="54CDA582"/>
    <w:rsid w:val="54E3E7AE"/>
    <w:rsid w:val="56237C5A"/>
    <w:rsid w:val="5857B08E"/>
    <w:rsid w:val="58C9DDBF"/>
    <w:rsid w:val="5984A600"/>
    <w:rsid w:val="5A47389E"/>
    <w:rsid w:val="5A546005"/>
    <w:rsid w:val="5B1ED4D9"/>
    <w:rsid w:val="5B5994EA"/>
    <w:rsid w:val="5B7B608E"/>
    <w:rsid w:val="5BF9D9F7"/>
    <w:rsid w:val="5D0D85C9"/>
    <w:rsid w:val="5E6BFBF8"/>
    <w:rsid w:val="5FAAD515"/>
    <w:rsid w:val="6140B129"/>
    <w:rsid w:val="6147F65F"/>
    <w:rsid w:val="627CCCEB"/>
    <w:rsid w:val="62971D2C"/>
    <w:rsid w:val="63B7EE04"/>
    <w:rsid w:val="63D7DB16"/>
    <w:rsid w:val="646383C9"/>
    <w:rsid w:val="65555916"/>
    <w:rsid w:val="65EFB4E1"/>
    <w:rsid w:val="6658BCCE"/>
    <w:rsid w:val="66DEEC06"/>
    <w:rsid w:val="676222FF"/>
    <w:rsid w:val="681F9273"/>
    <w:rsid w:val="693DC237"/>
    <w:rsid w:val="695E277A"/>
    <w:rsid w:val="6986A168"/>
    <w:rsid w:val="6A34E5A4"/>
    <w:rsid w:val="6A95F435"/>
    <w:rsid w:val="6AF79260"/>
    <w:rsid w:val="6BBB2646"/>
    <w:rsid w:val="6D3C5ECF"/>
    <w:rsid w:val="6E965BDB"/>
    <w:rsid w:val="6EBE8450"/>
    <w:rsid w:val="6EF57B74"/>
    <w:rsid w:val="6F2AF8CB"/>
    <w:rsid w:val="6FCF875A"/>
    <w:rsid w:val="701173C1"/>
    <w:rsid w:val="7012ABFA"/>
    <w:rsid w:val="7026053E"/>
    <w:rsid w:val="71B7EB67"/>
    <w:rsid w:val="720BD6CA"/>
    <w:rsid w:val="7277FA7C"/>
    <w:rsid w:val="73007E5F"/>
    <w:rsid w:val="736329BC"/>
    <w:rsid w:val="73889EAA"/>
    <w:rsid w:val="748BDD37"/>
    <w:rsid w:val="74A43ECE"/>
    <w:rsid w:val="751C582C"/>
    <w:rsid w:val="7530808E"/>
    <w:rsid w:val="754B5698"/>
    <w:rsid w:val="75C42E7F"/>
    <w:rsid w:val="76666310"/>
    <w:rsid w:val="76B57C31"/>
    <w:rsid w:val="77A0D051"/>
    <w:rsid w:val="78B3256C"/>
    <w:rsid w:val="78FD33FA"/>
    <w:rsid w:val="791D94C4"/>
    <w:rsid w:val="7A292A3D"/>
    <w:rsid w:val="7A3CEDF8"/>
    <w:rsid w:val="7A594FE8"/>
    <w:rsid w:val="7C6C2F83"/>
    <w:rsid w:val="7CCC2377"/>
    <w:rsid w:val="7D7EC36D"/>
    <w:rsid w:val="7E1BC5B2"/>
    <w:rsid w:val="7E1C8670"/>
    <w:rsid w:val="7E6FE2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08E8DE"/>
  <w15:docId w15:val="{2741FC6A-F5C7-4F3D-843E-7994E379F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96B"/>
    <w:pPr>
      <w:spacing w:after="0" w:line="240" w:lineRule="auto"/>
    </w:pPr>
    <w:rPr>
      <w:rFonts w:ascii="Calibri" w:hAnsi="Calibri" w:cs="Calibri"/>
      <w:sz w:val="24"/>
      <w:szCs w:val="24"/>
    </w:rPr>
  </w:style>
  <w:style w:type="paragraph" w:styleId="Heading1">
    <w:name w:val="heading 1"/>
    <w:basedOn w:val="Normal"/>
    <w:next w:val="Normal"/>
    <w:link w:val="Heading1Char"/>
    <w:uiPriority w:val="9"/>
    <w:qFormat/>
    <w:rsid w:val="00F956CF"/>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096B"/>
    <w:pPr>
      <w:ind w:left="720"/>
    </w:pPr>
  </w:style>
  <w:style w:type="character" w:customStyle="1" w:styleId="Heading1Char">
    <w:name w:val="Heading 1 Char"/>
    <w:basedOn w:val="DefaultParagraphFont"/>
    <w:link w:val="Heading1"/>
    <w:uiPriority w:val="9"/>
    <w:rsid w:val="00F956CF"/>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F956CF"/>
  </w:style>
  <w:style w:type="paragraph" w:styleId="CommentText">
    <w:name w:val="annotation text"/>
    <w:basedOn w:val="Normal"/>
    <w:link w:val="CommentTextChar"/>
    <w:uiPriority w:val="99"/>
    <w:unhideWhenUsed/>
    <w:rsid w:val="002A5ABD"/>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2A5ABD"/>
    <w:rPr>
      <w:rFonts w:cs="Times New Roman"/>
      <w:sz w:val="20"/>
      <w:szCs w:val="20"/>
    </w:rPr>
  </w:style>
  <w:style w:type="character" w:styleId="CommentReference">
    <w:name w:val="annotation reference"/>
    <w:basedOn w:val="DefaultParagraphFont"/>
    <w:uiPriority w:val="99"/>
    <w:semiHidden/>
    <w:unhideWhenUsed/>
    <w:rsid w:val="002A5ABD"/>
    <w:rPr>
      <w:sz w:val="16"/>
      <w:szCs w:val="16"/>
    </w:rPr>
  </w:style>
  <w:style w:type="paragraph" w:styleId="BalloonText">
    <w:name w:val="Balloon Text"/>
    <w:basedOn w:val="Normal"/>
    <w:link w:val="BalloonTextChar"/>
    <w:uiPriority w:val="99"/>
    <w:semiHidden/>
    <w:unhideWhenUsed/>
    <w:rsid w:val="002A5A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ABD"/>
    <w:rPr>
      <w:rFonts w:ascii="Segoe UI" w:hAnsi="Segoe UI" w:cs="Segoe UI"/>
      <w:sz w:val="18"/>
      <w:szCs w:val="18"/>
    </w:rPr>
  </w:style>
  <w:style w:type="paragraph" w:styleId="HTMLPreformatted">
    <w:name w:val="HTML Preformatted"/>
    <w:basedOn w:val="Normal"/>
    <w:link w:val="HTMLPreformattedChar"/>
    <w:uiPriority w:val="99"/>
    <w:semiHidden/>
    <w:unhideWhenUsed/>
    <w:rsid w:val="00B26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266F5"/>
    <w:rPr>
      <w:rFonts w:ascii="Courier New" w:eastAsia="Times New Roman" w:hAnsi="Courier New" w:cs="Courier New"/>
      <w:sz w:val="20"/>
      <w:szCs w:val="20"/>
    </w:rPr>
  </w:style>
  <w:style w:type="paragraph" w:styleId="Header">
    <w:name w:val="header"/>
    <w:basedOn w:val="Normal"/>
    <w:link w:val="HeaderChar"/>
    <w:uiPriority w:val="99"/>
    <w:unhideWhenUsed/>
    <w:rsid w:val="007F488B"/>
    <w:pPr>
      <w:tabs>
        <w:tab w:val="center" w:pos="4680"/>
        <w:tab w:val="right" w:pos="9360"/>
      </w:tabs>
    </w:pPr>
  </w:style>
  <w:style w:type="character" w:customStyle="1" w:styleId="HeaderChar">
    <w:name w:val="Header Char"/>
    <w:basedOn w:val="DefaultParagraphFont"/>
    <w:link w:val="Header"/>
    <w:uiPriority w:val="99"/>
    <w:rsid w:val="007F488B"/>
    <w:rPr>
      <w:rFonts w:ascii="Calibri" w:hAnsi="Calibri" w:cs="Calibri"/>
      <w:sz w:val="24"/>
      <w:szCs w:val="24"/>
    </w:rPr>
  </w:style>
  <w:style w:type="paragraph" w:styleId="Footer">
    <w:name w:val="footer"/>
    <w:basedOn w:val="Normal"/>
    <w:link w:val="FooterChar"/>
    <w:uiPriority w:val="99"/>
    <w:unhideWhenUsed/>
    <w:rsid w:val="007F488B"/>
    <w:pPr>
      <w:tabs>
        <w:tab w:val="center" w:pos="4680"/>
        <w:tab w:val="right" w:pos="9360"/>
      </w:tabs>
    </w:pPr>
  </w:style>
  <w:style w:type="character" w:customStyle="1" w:styleId="FooterChar">
    <w:name w:val="Footer Char"/>
    <w:basedOn w:val="DefaultParagraphFont"/>
    <w:link w:val="Footer"/>
    <w:uiPriority w:val="99"/>
    <w:rsid w:val="007F488B"/>
    <w:rPr>
      <w:rFonts w:ascii="Calibri" w:hAnsi="Calibri" w:cs="Calibri"/>
      <w:sz w:val="24"/>
      <w:szCs w:val="24"/>
    </w:rPr>
  </w:style>
  <w:style w:type="paragraph" w:styleId="CommentSubject">
    <w:name w:val="annotation subject"/>
    <w:basedOn w:val="CommentText"/>
    <w:next w:val="CommentText"/>
    <w:link w:val="CommentSubjectChar"/>
    <w:uiPriority w:val="99"/>
    <w:semiHidden/>
    <w:unhideWhenUsed/>
    <w:rsid w:val="00A82FB0"/>
    <w:rPr>
      <w:rFonts w:ascii="Calibri" w:hAnsi="Calibri" w:cs="Calibri"/>
      <w:b/>
      <w:bCs/>
    </w:rPr>
  </w:style>
  <w:style w:type="character" w:customStyle="1" w:styleId="CommentSubjectChar">
    <w:name w:val="Comment Subject Char"/>
    <w:basedOn w:val="CommentTextChar"/>
    <w:link w:val="CommentSubject"/>
    <w:uiPriority w:val="99"/>
    <w:semiHidden/>
    <w:rsid w:val="00A82FB0"/>
    <w:rPr>
      <w:rFonts w:ascii="Calibri" w:hAnsi="Calibri" w:cs="Calibri"/>
      <w:b/>
      <w:bCs/>
      <w:sz w:val="20"/>
      <w:szCs w:val="20"/>
    </w:rPr>
  </w:style>
  <w:style w:type="paragraph" w:styleId="Revision">
    <w:name w:val="Revision"/>
    <w:hidden/>
    <w:uiPriority w:val="99"/>
    <w:semiHidden/>
    <w:rsid w:val="004A42E7"/>
    <w:pPr>
      <w:spacing w:after="0" w:line="240" w:lineRule="auto"/>
    </w:pPr>
    <w:rPr>
      <w:rFonts w:ascii="Calibri" w:hAnsi="Calibri" w:cs="Calibri"/>
      <w:sz w:val="24"/>
      <w:szCs w:val="24"/>
    </w:rPr>
  </w:style>
  <w:style w:type="paragraph" w:styleId="FootnoteText">
    <w:name w:val="footnote text"/>
    <w:basedOn w:val="Normal"/>
    <w:link w:val="FootnoteTextChar"/>
    <w:uiPriority w:val="99"/>
    <w:semiHidden/>
    <w:unhideWhenUsed/>
    <w:rsid w:val="00611569"/>
    <w:rPr>
      <w:sz w:val="20"/>
      <w:szCs w:val="20"/>
    </w:rPr>
  </w:style>
  <w:style w:type="character" w:customStyle="1" w:styleId="FootnoteTextChar">
    <w:name w:val="Footnote Text Char"/>
    <w:basedOn w:val="DefaultParagraphFont"/>
    <w:link w:val="FootnoteText"/>
    <w:uiPriority w:val="99"/>
    <w:semiHidden/>
    <w:rsid w:val="00611569"/>
    <w:rPr>
      <w:rFonts w:ascii="Calibri" w:hAnsi="Calibri" w:cs="Calibri"/>
      <w:sz w:val="20"/>
      <w:szCs w:val="20"/>
    </w:rPr>
  </w:style>
  <w:style w:type="character" w:styleId="FootnoteReference">
    <w:name w:val="footnote reference"/>
    <w:basedOn w:val="DefaultParagraphFont"/>
    <w:uiPriority w:val="99"/>
    <w:semiHidden/>
    <w:unhideWhenUsed/>
    <w:rsid w:val="00611569"/>
    <w:rPr>
      <w:vertAlign w:val="superscript"/>
    </w:rPr>
  </w:style>
  <w:style w:type="paragraph" w:styleId="EndnoteText">
    <w:name w:val="endnote text"/>
    <w:basedOn w:val="Normal"/>
    <w:link w:val="EndnoteTextChar"/>
    <w:uiPriority w:val="99"/>
    <w:semiHidden/>
    <w:unhideWhenUsed/>
    <w:rsid w:val="000C4948"/>
    <w:rPr>
      <w:sz w:val="20"/>
      <w:szCs w:val="20"/>
    </w:rPr>
  </w:style>
  <w:style w:type="character" w:customStyle="1" w:styleId="EndnoteTextChar">
    <w:name w:val="Endnote Text Char"/>
    <w:basedOn w:val="DefaultParagraphFont"/>
    <w:link w:val="EndnoteText"/>
    <w:uiPriority w:val="99"/>
    <w:semiHidden/>
    <w:rsid w:val="000C4948"/>
    <w:rPr>
      <w:rFonts w:ascii="Calibri" w:hAnsi="Calibri" w:cs="Calibri"/>
      <w:sz w:val="20"/>
      <w:szCs w:val="20"/>
    </w:rPr>
  </w:style>
  <w:style w:type="character" w:styleId="EndnoteReference">
    <w:name w:val="endnote reference"/>
    <w:basedOn w:val="DefaultParagraphFont"/>
    <w:uiPriority w:val="99"/>
    <w:semiHidden/>
    <w:unhideWhenUsed/>
    <w:rsid w:val="000C4948"/>
    <w:rPr>
      <w:vertAlign w:val="superscript"/>
    </w:rPr>
  </w:style>
  <w:style w:type="character" w:styleId="Hyperlink">
    <w:name w:val="Hyperlink"/>
    <w:basedOn w:val="DefaultParagraphFont"/>
    <w:uiPriority w:val="99"/>
    <w:unhideWhenUsed/>
    <w:rsid w:val="00700459"/>
    <w:rPr>
      <w:color w:val="0563C1" w:themeColor="hyperlink"/>
      <w:u w:val="single"/>
    </w:rPr>
  </w:style>
  <w:style w:type="character" w:customStyle="1" w:styleId="UnresolvedMention1">
    <w:name w:val="Unresolved Mention1"/>
    <w:basedOn w:val="DefaultParagraphFont"/>
    <w:uiPriority w:val="99"/>
    <w:semiHidden/>
    <w:unhideWhenUsed/>
    <w:rsid w:val="00700459"/>
    <w:rPr>
      <w:color w:val="808080"/>
      <w:shd w:val="clear" w:color="auto" w:fill="E6E6E6"/>
    </w:rPr>
  </w:style>
  <w:style w:type="character" w:styleId="FollowedHyperlink">
    <w:name w:val="FollowedHyperlink"/>
    <w:basedOn w:val="DefaultParagraphFont"/>
    <w:uiPriority w:val="99"/>
    <w:semiHidden/>
    <w:unhideWhenUsed/>
    <w:rsid w:val="00754516"/>
    <w:rPr>
      <w:color w:val="954F72" w:themeColor="followedHyperlink"/>
      <w:u w:val="single"/>
    </w:rPr>
  </w:style>
  <w:style w:type="character" w:styleId="Emphasis">
    <w:name w:val="Emphasis"/>
    <w:basedOn w:val="DefaultParagraphFont"/>
    <w:uiPriority w:val="20"/>
    <w:qFormat/>
    <w:rsid w:val="000E7C29"/>
    <w:rPr>
      <w:i/>
      <w:iCs/>
    </w:rPr>
  </w:style>
  <w:style w:type="character" w:customStyle="1" w:styleId="UnresolvedMention">
    <w:name w:val="Unresolved Mention"/>
    <w:basedOn w:val="DefaultParagraphFont"/>
    <w:uiPriority w:val="99"/>
    <w:rsid w:val="0059263A"/>
    <w:rPr>
      <w:color w:val="808080"/>
      <w:shd w:val="clear" w:color="auto" w:fill="E6E6E6"/>
    </w:rPr>
  </w:style>
  <w:style w:type="paragraph" w:styleId="NormalWeb">
    <w:name w:val="Normal (Web)"/>
    <w:basedOn w:val="Normal"/>
    <w:uiPriority w:val="99"/>
    <w:semiHidden/>
    <w:unhideWhenUsed/>
    <w:rsid w:val="00ED504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5985">
      <w:bodyDiv w:val="1"/>
      <w:marLeft w:val="0"/>
      <w:marRight w:val="0"/>
      <w:marTop w:val="0"/>
      <w:marBottom w:val="0"/>
      <w:divBdr>
        <w:top w:val="none" w:sz="0" w:space="0" w:color="auto"/>
        <w:left w:val="none" w:sz="0" w:space="0" w:color="auto"/>
        <w:bottom w:val="none" w:sz="0" w:space="0" w:color="auto"/>
        <w:right w:val="none" w:sz="0" w:space="0" w:color="auto"/>
      </w:divBdr>
    </w:div>
    <w:div w:id="36862501">
      <w:bodyDiv w:val="1"/>
      <w:marLeft w:val="0"/>
      <w:marRight w:val="0"/>
      <w:marTop w:val="0"/>
      <w:marBottom w:val="0"/>
      <w:divBdr>
        <w:top w:val="none" w:sz="0" w:space="0" w:color="auto"/>
        <w:left w:val="none" w:sz="0" w:space="0" w:color="auto"/>
        <w:bottom w:val="none" w:sz="0" w:space="0" w:color="auto"/>
        <w:right w:val="none" w:sz="0" w:space="0" w:color="auto"/>
      </w:divBdr>
    </w:div>
    <w:div w:id="61147701">
      <w:bodyDiv w:val="1"/>
      <w:marLeft w:val="0"/>
      <w:marRight w:val="0"/>
      <w:marTop w:val="0"/>
      <w:marBottom w:val="0"/>
      <w:divBdr>
        <w:top w:val="none" w:sz="0" w:space="0" w:color="auto"/>
        <w:left w:val="none" w:sz="0" w:space="0" w:color="auto"/>
        <w:bottom w:val="none" w:sz="0" w:space="0" w:color="auto"/>
        <w:right w:val="none" w:sz="0" w:space="0" w:color="auto"/>
      </w:divBdr>
    </w:div>
    <w:div w:id="85394177">
      <w:bodyDiv w:val="1"/>
      <w:marLeft w:val="0"/>
      <w:marRight w:val="0"/>
      <w:marTop w:val="0"/>
      <w:marBottom w:val="0"/>
      <w:divBdr>
        <w:top w:val="none" w:sz="0" w:space="0" w:color="auto"/>
        <w:left w:val="none" w:sz="0" w:space="0" w:color="auto"/>
        <w:bottom w:val="none" w:sz="0" w:space="0" w:color="auto"/>
        <w:right w:val="none" w:sz="0" w:space="0" w:color="auto"/>
      </w:divBdr>
    </w:div>
    <w:div w:id="94181939">
      <w:bodyDiv w:val="1"/>
      <w:marLeft w:val="0"/>
      <w:marRight w:val="0"/>
      <w:marTop w:val="0"/>
      <w:marBottom w:val="0"/>
      <w:divBdr>
        <w:top w:val="none" w:sz="0" w:space="0" w:color="auto"/>
        <w:left w:val="none" w:sz="0" w:space="0" w:color="auto"/>
        <w:bottom w:val="none" w:sz="0" w:space="0" w:color="auto"/>
        <w:right w:val="none" w:sz="0" w:space="0" w:color="auto"/>
      </w:divBdr>
    </w:div>
    <w:div w:id="107747743">
      <w:bodyDiv w:val="1"/>
      <w:marLeft w:val="0"/>
      <w:marRight w:val="0"/>
      <w:marTop w:val="0"/>
      <w:marBottom w:val="0"/>
      <w:divBdr>
        <w:top w:val="none" w:sz="0" w:space="0" w:color="auto"/>
        <w:left w:val="none" w:sz="0" w:space="0" w:color="auto"/>
        <w:bottom w:val="none" w:sz="0" w:space="0" w:color="auto"/>
        <w:right w:val="none" w:sz="0" w:space="0" w:color="auto"/>
      </w:divBdr>
    </w:div>
    <w:div w:id="141587398">
      <w:bodyDiv w:val="1"/>
      <w:marLeft w:val="0"/>
      <w:marRight w:val="0"/>
      <w:marTop w:val="0"/>
      <w:marBottom w:val="0"/>
      <w:divBdr>
        <w:top w:val="none" w:sz="0" w:space="0" w:color="auto"/>
        <w:left w:val="none" w:sz="0" w:space="0" w:color="auto"/>
        <w:bottom w:val="none" w:sz="0" w:space="0" w:color="auto"/>
        <w:right w:val="none" w:sz="0" w:space="0" w:color="auto"/>
      </w:divBdr>
    </w:div>
    <w:div w:id="147593366">
      <w:bodyDiv w:val="1"/>
      <w:marLeft w:val="0"/>
      <w:marRight w:val="0"/>
      <w:marTop w:val="0"/>
      <w:marBottom w:val="0"/>
      <w:divBdr>
        <w:top w:val="none" w:sz="0" w:space="0" w:color="auto"/>
        <w:left w:val="none" w:sz="0" w:space="0" w:color="auto"/>
        <w:bottom w:val="none" w:sz="0" w:space="0" w:color="auto"/>
        <w:right w:val="none" w:sz="0" w:space="0" w:color="auto"/>
      </w:divBdr>
    </w:div>
    <w:div w:id="150341304">
      <w:bodyDiv w:val="1"/>
      <w:marLeft w:val="0"/>
      <w:marRight w:val="0"/>
      <w:marTop w:val="0"/>
      <w:marBottom w:val="0"/>
      <w:divBdr>
        <w:top w:val="none" w:sz="0" w:space="0" w:color="auto"/>
        <w:left w:val="none" w:sz="0" w:space="0" w:color="auto"/>
        <w:bottom w:val="none" w:sz="0" w:space="0" w:color="auto"/>
        <w:right w:val="none" w:sz="0" w:space="0" w:color="auto"/>
      </w:divBdr>
    </w:div>
    <w:div w:id="160782013">
      <w:bodyDiv w:val="1"/>
      <w:marLeft w:val="0"/>
      <w:marRight w:val="0"/>
      <w:marTop w:val="0"/>
      <w:marBottom w:val="0"/>
      <w:divBdr>
        <w:top w:val="none" w:sz="0" w:space="0" w:color="auto"/>
        <w:left w:val="none" w:sz="0" w:space="0" w:color="auto"/>
        <w:bottom w:val="none" w:sz="0" w:space="0" w:color="auto"/>
        <w:right w:val="none" w:sz="0" w:space="0" w:color="auto"/>
      </w:divBdr>
    </w:div>
    <w:div w:id="171531532">
      <w:bodyDiv w:val="1"/>
      <w:marLeft w:val="0"/>
      <w:marRight w:val="0"/>
      <w:marTop w:val="0"/>
      <w:marBottom w:val="0"/>
      <w:divBdr>
        <w:top w:val="none" w:sz="0" w:space="0" w:color="auto"/>
        <w:left w:val="none" w:sz="0" w:space="0" w:color="auto"/>
        <w:bottom w:val="none" w:sz="0" w:space="0" w:color="auto"/>
        <w:right w:val="none" w:sz="0" w:space="0" w:color="auto"/>
      </w:divBdr>
    </w:div>
    <w:div w:id="180241093">
      <w:bodyDiv w:val="1"/>
      <w:marLeft w:val="0"/>
      <w:marRight w:val="0"/>
      <w:marTop w:val="0"/>
      <w:marBottom w:val="0"/>
      <w:divBdr>
        <w:top w:val="none" w:sz="0" w:space="0" w:color="auto"/>
        <w:left w:val="none" w:sz="0" w:space="0" w:color="auto"/>
        <w:bottom w:val="none" w:sz="0" w:space="0" w:color="auto"/>
        <w:right w:val="none" w:sz="0" w:space="0" w:color="auto"/>
      </w:divBdr>
    </w:div>
    <w:div w:id="194200491">
      <w:bodyDiv w:val="1"/>
      <w:marLeft w:val="0"/>
      <w:marRight w:val="0"/>
      <w:marTop w:val="0"/>
      <w:marBottom w:val="0"/>
      <w:divBdr>
        <w:top w:val="none" w:sz="0" w:space="0" w:color="auto"/>
        <w:left w:val="none" w:sz="0" w:space="0" w:color="auto"/>
        <w:bottom w:val="none" w:sz="0" w:space="0" w:color="auto"/>
        <w:right w:val="none" w:sz="0" w:space="0" w:color="auto"/>
      </w:divBdr>
    </w:div>
    <w:div w:id="198737587">
      <w:bodyDiv w:val="1"/>
      <w:marLeft w:val="0"/>
      <w:marRight w:val="0"/>
      <w:marTop w:val="0"/>
      <w:marBottom w:val="0"/>
      <w:divBdr>
        <w:top w:val="none" w:sz="0" w:space="0" w:color="auto"/>
        <w:left w:val="none" w:sz="0" w:space="0" w:color="auto"/>
        <w:bottom w:val="none" w:sz="0" w:space="0" w:color="auto"/>
        <w:right w:val="none" w:sz="0" w:space="0" w:color="auto"/>
      </w:divBdr>
    </w:div>
    <w:div w:id="202251743">
      <w:bodyDiv w:val="1"/>
      <w:marLeft w:val="0"/>
      <w:marRight w:val="0"/>
      <w:marTop w:val="0"/>
      <w:marBottom w:val="0"/>
      <w:divBdr>
        <w:top w:val="none" w:sz="0" w:space="0" w:color="auto"/>
        <w:left w:val="none" w:sz="0" w:space="0" w:color="auto"/>
        <w:bottom w:val="none" w:sz="0" w:space="0" w:color="auto"/>
        <w:right w:val="none" w:sz="0" w:space="0" w:color="auto"/>
      </w:divBdr>
    </w:div>
    <w:div w:id="205022025">
      <w:bodyDiv w:val="1"/>
      <w:marLeft w:val="0"/>
      <w:marRight w:val="0"/>
      <w:marTop w:val="0"/>
      <w:marBottom w:val="0"/>
      <w:divBdr>
        <w:top w:val="none" w:sz="0" w:space="0" w:color="auto"/>
        <w:left w:val="none" w:sz="0" w:space="0" w:color="auto"/>
        <w:bottom w:val="none" w:sz="0" w:space="0" w:color="auto"/>
        <w:right w:val="none" w:sz="0" w:space="0" w:color="auto"/>
      </w:divBdr>
    </w:div>
    <w:div w:id="208148875">
      <w:bodyDiv w:val="1"/>
      <w:marLeft w:val="0"/>
      <w:marRight w:val="0"/>
      <w:marTop w:val="0"/>
      <w:marBottom w:val="0"/>
      <w:divBdr>
        <w:top w:val="none" w:sz="0" w:space="0" w:color="auto"/>
        <w:left w:val="none" w:sz="0" w:space="0" w:color="auto"/>
        <w:bottom w:val="none" w:sz="0" w:space="0" w:color="auto"/>
        <w:right w:val="none" w:sz="0" w:space="0" w:color="auto"/>
      </w:divBdr>
    </w:div>
    <w:div w:id="209273130">
      <w:bodyDiv w:val="1"/>
      <w:marLeft w:val="0"/>
      <w:marRight w:val="0"/>
      <w:marTop w:val="0"/>
      <w:marBottom w:val="0"/>
      <w:divBdr>
        <w:top w:val="none" w:sz="0" w:space="0" w:color="auto"/>
        <w:left w:val="none" w:sz="0" w:space="0" w:color="auto"/>
        <w:bottom w:val="none" w:sz="0" w:space="0" w:color="auto"/>
        <w:right w:val="none" w:sz="0" w:space="0" w:color="auto"/>
      </w:divBdr>
    </w:div>
    <w:div w:id="235361118">
      <w:bodyDiv w:val="1"/>
      <w:marLeft w:val="0"/>
      <w:marRight w:val="0"/>
      <w:marTop w:val="0"/>
      <w:marBottom w:val="0"/>
      <w:divBdr>
        <w:top w:val="none" w:sz="0" w:space="0" w:color="auto"/>
        <w:left w:val="none" w:sz="0" w:space="0" w:color="auto"/>
        <w:bottom w:val="none" w:sz="0" w:space="0" w:color="auto"/>
        <w:right w:val="none" w:sz="0" w:space="0" w:color="auto"/>
      </w:divBdr>
    </w:div>
    <w:div w:id="243149050">
      <w:bodyDiv w:val="1"/>
      <w:marLeft w:val="0"/>
      <w:marRight w:val="0"/>
      <w:marTop w:val="0"/>
      <w:marBottom w:val="0"/>
      <w:divBdr>
        <w:top w:val="none" w:sz="0" w:space="0" w:color="auto"/>
        <w:left w:val="none" w:sz="0" w:space="0" w:color="auto"/>
        <w:bottom w:val="none" w:sz="0" w:space="0" w:color="auto"/>
        <w:right w:val="none" w:sz="0" w:space="0" w:color="auto"/>
      </w:divBdr>
    </w:div>
    <w:div w:id="247664056">
      <w:bodyDiv w:val="1"/>
      <w:marLeft w:val="0"/>
      <w:marRight w:val="0"/>
      <w:marTop w:val="0"/>
      <w:marBottom w:val="0"/>
      <w:divBdr>
        <w:top w:val="none" w:sz="0" w:space="0" w:color="auto"/>
        <w:left w:val="none" w:sz="0" w:space="0" w:color="auto"/>
        <w:bottom w:val="none" w:sz="0" w:space="0" w:color="auto"/>
        <w:right w:val="none" w:sz="0" w:space="0" w:color="auto"/>
      </w:divBdr>
    </w:div>
    <w:div w:id="265114767">
      <w:bodyDiv w:val="1"/>
      <w:marLeft w:val="0"/>
      <w:marRight w:val="0"/>
      <w:marTop w:val="0"/>
      <w:marBottom w:val="0"/>
      <w:divBdr>
        <w:top w:val="none" w:sz="0" w:space="0" w:color="auto"/>
        <w:left w:val="none" w:sz="0" w:space="0" w:color="auto"/>
        <w:bottom w:val="none" w:sz="0" w:space="0" w:color="auto"/>
        <w:right w:val="none" w:sz="0" w:space="0" w:color="auto"/>
      </w:divBdr>
    </w:div>
    <w:div w:id="273562481">
      <w:bodyDiv w:val="1"/>
      <w:marLeft w:val="0"/>
      <w:marRight w:val="0"/>
      <w:marTop w:val="0"/>
      <w:marBottom w:val="0"/>
      <w:divBdr>
        <w:top w:val="none" w:sz="0" w:space="0" w:color="auto"/>
        <w:left w:val="none" w:sz="0" w:space="0" w:color="auto"/>
        <w:bottom w:val="none" w:sz="0" w:space="0" w:color="auto"/>
        <w:right w:val="none" w:sz="0" w:space="0" w:color="auto"/>
      </w:divBdr>
    </w:div>
    <w:div w:id="287661128">
      <w:bodyDiv w:val="1"/>
      <w:marLeft w:val="0"/>
      <w:marRight w:val="0"/>
      <w:marTop w:val="0"/>
      <w:marBottom w:val="0"/>
      <w:divBdr>
        <w:top w:val="none" w:sz="0" w:space="0" w:color="auto"/>
        <w:left w:val="none" w:sz="0" w:space="0" w:color="auto"/>
        <w:bottom w:val="none" w:sz="0" w:space="0" w:color="auto"/>
        <w:right w:val="none" w:sz="0" w:space="0" w:color="auto"/>
      </w:divBdr>
    </w:div>
    <w:div w:id="320811184">
      <w:bodyDiv w:val="1"/>
      <w:marLeft w:val="0"/>
      <w:marRight w:val="0"/>
      <w:marTop w:val="0"/>
      <w:marBottom w:val="0"/>
      <w:divBdr>
        <w:top w:val="none" w:sz="0" w:space="0" w:color="auto"/>
        <w:left w:val="none" w:sz="0" w:space="0" w:color="auto"/>
        <w:bottom w:val="none" w:sz="0" w:space="0" w:color="auto"/>
        <w:right w:val="none" w:sz="0" w:space="0" w:color="auto"/>
      </w:divBdr>
    </w:div>
    <w:div w:id="385031322">
      <w:bodyDiv w:val="1"/>
      <w:marLeft w:val="0"/>
      <w:marRight w:val="0"/>
      <w:marTop w:val="0"/>
      <w:marBottom w:val="0"/>
      <w:divBdr>
        <w:top w:val="none" w:sz="0" w:space="0" w:color="auto"/>
        <w:left w:val="none" w:sz="0" w:space="0" w:color="auto"/>
        <w:bottom w:val="none" w:sz="0" w:space="0" w:color="auto"/>
        <w:right w:val="none" w:sz="0" w:space="0" w:color="auto"/>
      </w:divBdr>
    </w:div>
    <w:div w:id="428505067">
      <w:bodyDiv w:val="1"/>
      <w:marLeft w:val="0"/>
      <w:marRight w:val="0"/>
      <w:marTop w:val="0"/>
      <w:marBottom w:val="0"/>
      <w:divBdr>
        <w:top w:val="none" w:sz="0" w:space="0" w:color="auto"/>
        <w:left w:val="none" w:sz="0" w:space="0" w:color="auto"/>
        <w:bottom w:val="none" w:sz="0" w:space="0" w:color="auto"/>
        <w:right w:val="none" w:sz="0" w:space="0" w:color="auto"/>
      </w:divBdr>
    </w:div>
    <w:div w:id="430709001">
      <w:bodyDiv w:val="1"/>
      <w:marLeft w:val="0"/>
      <w:marRight w:val="0"/>
      <w:marTop w:val="0"/>
      <w:marBottom w:val="0"/>
      <w:divBdr>
        <w:top w:val="none" w:sz="0" w:space="0" w:color="auto"/>
        <w:left w:val="none" w:sz="0" w:space="0" w:color="auto"/>
        <w:bottom w:val="none" w:sz="0" w:space="0" w:color="auto"/>
        <w:right w:val="none" w:sz="0" w:space="0" w:color="auto"/>
      </w:divBdr>
    </w:div>
    <w:div w:id="432408900">
      <w:bodyDiv w:val="1"/>
      <w:marLeft w:val="0"/>
      <w:marRight w:val="0"/>
      <w:marTop w:val="0"/>
      <w:marBottom w:val="0"/>
      <w:divBdr>
        <w:top w:val="none" w:sz="0" w:space="0" w:color="auto"/>
        <w:left w:val="none" w:sz="0" w:space="0" w:color="auto"/>
        <w:bottom w:val="none" w:sz="0" w:space="0" w:color="auto"/>
        <w:right w:val="none" w:sz="0" w:space="0" w:color="auto"/>
      </w:divBdr>
    </w:div>
    <w:div w:id="434596115">
      <w:bodyDiv w:val="1"/>
      <w:marLeft w:val="0"/>
      <w:marRight w:val="0"/>
      <w:marTop w:val="0"/>
      <w:marBottom w:val="0"/>
      <w:divBdr>
        <w:top w:val="none" w:sz="0" w:space="0" w:color="auto"/>
        <w:left w:val="none" w:sz="0" w:space="0" w:color="auto"/>
        <w:bottom w:val="none" w:sz="0" w:space="0" w:color="auto"/>
        <w:right w:val="none" w:sz="0" w:space="0" w:color="auto"/>
      </w:divBdr>
    </w:div>
    <w:div w:id="442461273">
      <w:bodyDiv w:val="1"/>
      <w:marLeft w:val="0"/>
      <w:marRight w:val="0"/>
      <w:marTop w:val="0"/>
      <w:marBottom w:val="0"/>
      <w:divBdr>
        <w:top w:val="none" w:sz="0" w:space="0" w:color="auto"/>
        <w:left w:val="none" w:sz="0" w:space="0" w:color="auto"/>
        <w:bottom w:val="none" w:sz="0" w:space="0" w:color="auto"/>
        <w:right w:val="none" w:sz="0" w:space="0" w:color="auto"/>
      </w:divBdr>
    </w:div>
    <w:div w:id="450780576">
      <w:bodyDiv w:val="1"/>
      <w:marLeft w:val="0"/>
      <w:marRight w:val="0"/>
      <w:marTop w:val="0"/>
      <w:marBottom w:val="0"/>
      <w:divBdr>
        <w:top w:val="none" w:sz="0" w:space="0" w:color="auto"/>
        <w:left w:val="none" w:sz="0" w:space="0" w:color="auto"/>
        <w:bottom w:val="none" w:sz="0" w:space="0" w:color="auto"/>
        <w:right w:val="none" w:sz="0" w:space="0" w:color="auto"/>
      </w:divBdr>
    </w:div>
    <w:div w:id="461385623">
      <w:bodyDiv w:val="1"/>
      <w:marLeft w:val="0"/>
      <w:marRight w:val="0"/>
      <w:marTop w:val="0"/>
      <w:marBottom w:val="0"/>
      <w:divBdr>
        <w:top w:val="none" w:sz="0" w:space="0" w:color="auto"/>
        <w:left w:val="none" w:sz="0" w:space="0" w:color="auto"/>
        <w:bottom w:val="none" w:sz="0" w:space="0" w:color="auto"/>
        <w:right w:val="none" w:sz="0" w:space="0" w:color="auto"/>
      </w:divBdr>
    </w:div>
    <w:div w:id="476726089">
      <w:bodyDiv w:val="1"/>
      <w:marLeft w:val="0"/>
      <w:marRight w:val="0"/>
      <w:marTop w:val="0"/>
      <w:marBottom w:val="0"/>
      <w:divBdr>
        <w:top w:val="none" w:sz="0" w:space="0" w:color="auto"/>
        <w:left w:val="none" w:sz="0" w:space="0" w:color="auto"/>
        <w:bottom w:val="none" w:sz="0" w:space="0" w:color="auto"/>
        <w:right w:val="none" w:sz="0" w:space="0" w:color="auto"/>
      </w:divBdr>
    </w:div>
    <w:div w:id="494344165">
      <w:bodyDiv w:val="1"/>
      <w:marLeft w:val="0"/>
      <w:marRight w:val="0"/>
      <w:marTop w:val="0"/>
      <w:marBottom w:val="0"/>
      <w:divBdr>
        <w:top w:val="none" w:sz="0" w:space="0" w:color="auto"/>
        <w:left w:val="none" w:sz="0" w:space="0" w:color="auto"/>
        <w:bottom w:val="none" w:sz="0" w:space="0" w:color="auto"/>
        <w:right w:val="none" w:sz="0" w:space="0" w:color="auto"/>
      </w:divBdr>
    </w:div>
    <w:div w:id="512574983">
      <w:bodyDiv w:val="1"/>
      <w:marLeft w:val="0"/>
      <w:marRight w:val="0"/>
      <w:marTop w:val="0"/>
      <w:marBottom w:val="0"/>
      <w:divBdr>
        <w:top w:val="none" w:sz="0" w:space="0" w:color="auto"/>
        <w:left w:val="none" w:sz="0" w:space="0" w:color="auto"/>
        <w:bottom w:val="none" w:sz="0" w:space="0" w:color="auto"/>
        <w:right w:val="none" w:sz="0" w:space="0" w:color="auto"/>
      </w:divBdr>
    </w:div>
    <w:div w:id="572199641">
      <w:bodyDiv w:val="1"/>
      <w:marLeft w:val="0"/>
      <w:marRight w:val="0"/>
      <w:marTop w:val="0"/>
      <w:marBottom w:val="0"/>
      <w:divBdr>
        <w:top w:val="none" w:sz="0" w:space="0" w:color="auto"/>
        <w:left w:val="none" w:sz="0" w:space="0" w:color="auto"/>
        <w:bottom w:val="none" w:sz="0" w:space="0" w:color="auto"/>
        <w:right w:val="none" w:sz="0" w:space="0" w:color="auto"/>
      </w:divBdr>
    </w:div>
    <w:div w:id="595938888">
      <w:bodyDiv w:val="1"/>
      <w:marLeft w:val="0"/>
      <w:marRight w:val="0"/>
      <w:marTop w:val="0"/>
      <w:marBottom w:val="0"/>
      <w:divBdr>
        <w:top w:val="none" w:sz="0" w:space="0" w:color="auto"/>
        <w:left w:val="none" w:sz="0" w:space="0" w:color="auto"/>
        <w:bottom w:val="none" w:sz="0" w:space="0" w:color="auto"/>
        <w:right w:val="none" w:sz="0" w:space="0" w:color="auto"/>
      </w:divBdr>
    </w:div>
    <w:div w:id="607927987">
      <w:bodyDiv w:val="1"/>
      <w:marLeft w:val="0"/>
      <w:marRight w:val="0"/>
      <w:marTop w:val="0"/>
      <w:marBottom w:val="0"/>
      <w:divBdr>
        <w:top w:val="none" w:sz="0" w:space="0" w:color="auto"/>
        <w:left w:val="none" w:sz="0" w:space="0" w:color="auto"/>
        <w:bottom w:val="none" w:sz="0" w:space="0" w:color="auto"/>
        <w:right w:val="none" w:sz="0" w:space="0" w:color="auto"/>
      </w:divBdr>
    </w:div>
    <w:div w:id="627004595">
      <w:bodyDiv w:val="1"/>
      <w:marLeft w:val="0"/>
      <w:marRight w:val="0"/>
      <w:marTop w:val="0"/>
      <w:marBottom w:val="0"/>
      <w:divBdr>
        <w:top w:val="none" w:sz="0" w:space="0" w:color="auto"/>
        <w:left w:val="none" w:sz="0" w:space="0" w:color="auto"/>
        <w:bottom w:val="none" w:sz="0" w:space="0" w:color="auto"/>
        <w:right w:val="none" w:sz="0" w:space="0" w:color="auto"/>
      </w:divBdr>
    </w:div>
    <w:div w:id="692802426">
      <w:bodyDiv w:val="1"/>
      <w:marLeft w:val="0"/>
      <w:marRight w:val="0"/>
      <w:marTop w:val="0"/>
      <w:marBottom w:val="0"/>
      <w:divBdr>
        <w:top w:val="none" w:sz="0" w:space="0" w:color="auto"/>
        <w:left w:val="none" w:sz="0" w:space="0" w:color="auto"/>
        <w:bottom w:val="none" w:sz="0" w:space="0" w:color="auto"/>
        <w:right w:val="none" w:sz="0" w:space="0" w:color="auto"/>
      </w:divBdr>
    </w:div>
    <w:div w:id="702368663">
      <w:bodyDiv w:val="1"/>
      <w:marLeft w:val="0"/>
      <w:marRight w:val="0"/>
      <w:marTop w:val="0"/>
      <w:marBottom w:val="0"/>
      <w:divBdr>
        <w:top w:val="none" w:sz="0" w:space="0" w:color="auto"/>
        <w:left w:val="none" w:sz="0" w:space="0" w:color="auto"/>
        <w:bottom w:val="none" w:sz="0" w:space="0" w:color="auto"/>
        <w:right w:val="none" w:sz="0" w:space="0" w:color="auto"/>
      </w:divBdr>
    </w:div>
    <w:div w:id="709305835">
      <w:bodyDiv w:val="1"/>
      <w:marLeft w:val="0"/>
      <w:marRight w:val="0"/>
      <w:marTop w:val="0"/>
      <w:marBottom w:val="0"/>
      <w:divBdr>
        <w:top w:val="none" w:sz="0" w:space="0" w:color="auto"/>
        <w:left w:val="none" w:sz="0" w:space="0" w:color="auto"/>
        <w:bottom w:val="none" w:sz="0" w:space="0" w:color="auto"/>
        <w:right w:val="none" w:sz="0" w:space="0" w:color="auto"/>
      </w:divBdr>
    </w:div>
    <w:div w:id="716661850">
      <w:bodyDiv w:val="1"/>
      <w:marLeft w:val="0"/>
      <w:marRight w:val="0"/>
      <w:marTop w:val="0"/>
      <w:marBottom w:val="0"/>
      <w:divBdr>
        <w:top w:val="none" w:sz="0" w:space="0" w:color="auto"/>
        <w:left w:val="none" w:sz="0" w:space="0" w:color="auto"/>
        <w:bottom w:val="none" w:sz="0" w:space="0" w:color="auto"/>
        <w:right w:val="none" w:sz="0" w:space="0" w:color="auto"/>
      </w:divBdr>
    </w:div>
    <w:div w:id="732389049">
      <w:bodyDiv w:val="1"/>
      <w:marLeft w:val="0"/>
      <w:marRight w:val="0"/>
      <w:marTop w:val="0"/>
      <w:marBottom w:val="0"/>
      <w:divBdr>
        <w:top w:val="none" w:sz="0" w:space="0" w:color="auto"/>
        <w:left w:val="none" w:sz="0" w:space="0" w:color="auto"/>
        <w:bottom w:val="none" w:sz="0" w:space="0" w:color="auto"/>
        <w:right w:val="none" w:sz="0" w:space="0" w:color="auto"/>
      </w:divBdr>
    </w:div>
    <w:div w:id="735278165">
      <w:bodyDiv w:val="1"/>
      <w:marLeft w:val="0"/>
      <w:marRight w:val="0"/>
      <w:marTop w:val="0"/>
      <w:marBottom w:val="0"/>
      <w:divBdr>
        <w:top w:val="none" w:sz="0" w:space="0" w:color="auto"/>
        <w:left w:val="none" w:sz="0" w:space="0" w:color="auto"/>
        <w:bottom w:val="none" w:sz="0" w:space="0" w:color="auto"/>
        <w:right w:val="none" w:sz="0" w:space="0" w:color="auto"/>
      </w:divBdr>
    </w:div>
    <w:div w:id="748162824">
      <w:bodyDiv w:val="1"/>
      <w:marLeft w:val="0"/>
      <w:marRight w:val="0"/>
      <w:marTop w:val="0"/>
      <w:marBottom w:val="0"/>
      <w:divBdr>
        <w:top w:val="none" w:sz="0" w:space="0" w:color="auto"/>
        <w:left w:val="none" w:sz="0" w:space="0" w:color="auto"/>
        <w:bottom w:val="none" w:sz="0" w:space="0" w:color="auto"/>
        <w:right w:val="none" w:sz="0" w:space="0" w:color="auto"/>
      </w:divBdr>
    </w:div>
    <w:div w:id="799226615">
      <w:bodyDiv w:val="1"/>
      <w:marLeft w:val="0"/>
      <w:marRight w:val="0"/>
      <w:marTop w:val="0"/>
      <w:marBottom w:val="0"/>
      <w:divBdr>
        <w:top w:val="none" w:sz="0" w:space="0" w:color="auto"/>
        <w:left w:val="none" w:sz="0" w:space="0" w:color="auto"/>
        <w:bottom w:val="none" w:sz="0" w:space="0" w:color="auto"/>
        <w:right w:val="none" w:sz="0" w:space="0" w:color="auto"/>
      </w:divBdr>
    </w:div>
    <w:div w:id="819618681">
      <w:bodyDiv w:val="1"/>
      <w:marLeft w:val="0"/>
      <w:marRight w:val="0"/>
      <w:marTop w:val="0"/>
      <w:marBottom w:val="0"/>
      <w:divBdr>
        <w:top w:val="none" w:sz="0" w:space="0" w:color="auto"/>
        <w:left w:val="none" w:sz="0" w:space="0" w:color="auto"/>
        <w:bottom w:val="none" w:sz="0" w:space="0" w:color="auto"/>
        <w:right w:val="none" w:sz="0" w:space="0" w:color="auto"/>
      </w:divBdr>
    </w:div>
    <w:div w:id="902103615">
      <w:bodyDiv w:val="1"/>
      <w:marLeft w:val="0"/>
      <w:marRight w:val="0"/>
      <w:marTop w:val="0"/>
      <w:marBottom w:val="0"/>
      <w:divBdr>
        <w:top w:val="none" w:sz="0" w:space="0" w:color="auto"/>
        <w:left w:val="none" w:sz="0" w:space="0" w:color="auto"/>
        <w:bottom w:val="none" w:sz="0" w:space="0" w:color="auto"/>
        <w:right w:val="none" w:sz="0" w:space="0" w:color="auto"/>
      </w:divBdr>
    </w:div>
    <w:div w:id="917060959">
      <w:bodyDiv w:val="1"/>
      <w:marLeft w:val="0"/>
      <w:marRight w:val="0"/>
      <w:marTop w:val="0"/>
      <w:marBottom w:val="0"/>
      <w:divBdr>
        <w:top w:val="none" w:sz="0" w:space="0" w:color="auto"/>
        <w:left w:val="none" w:sz="0" w:space="0" w:color="auto"/>
        <w:bottom w:val="none" w:sz="0" w:space="0" w:color="auto"/>
        <w:right w:val="none" w:sz="0" w:space="0" w:color="auto"/>
      </w:divBdr>
    </w:div>
    <w:div w:id="936794784">
      <w:bodyDiv w:val="1"/>
      <w:marLeft w:val="0"/>
      <w:marRight w:val="0"/>
      <w:marTop w:val="0"/>
      <w:marBottom w:val="0"/>
      <w:divBdr>
        <w:top w:val="none" w:sz="0" w:space="0" w:color="auto"/>
        <w:left w:val="none" w:sz="0" w:space="0" w:color="auto"/>
        <w:bottom w:val="none" w:sz="0" w:space="0" w:color="auto"/>
        <w:right w:val="none" w:sz="0" w:space="0" w:color="auto"/>
      </w:divBdr>
    </w:div>
    <w:div w:id="948397384">
      <w:bodyDiv w:val="1"/>
      <w:marLeft w:val="0"/>
      <w:marRight w:val="0"/>
      <w:marTop w:val="0"/>
      <w:marBottom w:val="0"/>
      <w:divBdr>
        <w:top w:val="none" w:sz="0" w:space="0" w:color="auto"/>
        <w:left w:val="none" w:sz="0" w:space="0" w:color="auto"/>
        <w:bottom w:val="none" w:sz="0" w:space="0" w:color="auto"/>
        <w:right w:val="none" w:sz="0" w:space="0" w:color="auto"/>
      </w:divBdr>
    </w:div>
    <w:div w:id="1001346914">
      <w:bodyDiv w:val="1"/>
      <w:marLeft w:val="0"/>
      <w:marRight w:val="0"/>
      <w:marTop w:val="0"/>
      <w:marBottom w:val="0"/>
      <w:divBdr>
        <w:top w:val="none" w:sz="0" w:space="0" w:color="auto"/>
        <w:left w:val="none" w:sz="0" w:space="0" w:color="auto"/>
        <w:bottom w:val="none" w:sz="0" w:space="0" w:color="auto"/>
        <w:right w:val="none" w:sz="0" w:space="0" w:color="auto"/>
      </w:divBdr>
    </w:div>
    <w:div w:id="1028800314">
      <w:bodyDiv w:val="1"/>
      <w:marLeft w:val="0"/>
      <w:marRight w:val="0"/>
      <w:marTop w:val="0"/>
      <w:marBottom w:val="0"/>
      <w:divBdr>
        <w:top w:val="none" w:sz="0" w:space="0" w:color="auto"/>
        <w:left w:val="none" w:sz="0" w:space="0" w:color="auto"/>
        <w:bottom w:val="none" w:sz="0" w:space="0" w:color="auto"/>
        <w:right w:val="none" w:sz="0" w:space="0" w:color="auto"/>
      </w:divBdr>
    </w:div>
    <w:div w:id="1059596745">
      <w:bodyDiv w:val="1"/>
      <w:marLeft w:val="0"/>
      <w:marRight w:val="0"/>
      <w:marTop w:val="0"/>
      <w:marBottom w:val="0"/>
      <w:divBdr>
        <w:top w:val="none" w:sz="0" w:space="0" w:color="auto"/>
        <w:left w:val="none" w:sz="0" w:space="0" w:color="auto"/>
        <w:bottom w:val="none" w:sz="0" w:space="0" w:color="auto"/>
        <w:right w:val="none" w:sz="0" w:space="0" w:color="auto"/>
      </w:divBdr>
    </w:div>
    <w:div w:id="1070885987">
      <w:bodyDiv w:val="1"/>
      <w:marLeft w:val="0"/>
      <w:marRight w:val="0"/>
      <w:marTop w:val="0"/>
      <w:marBottom w:val="0"/>
      <w:divBdr>
        <w:top w:val="none" w:sz="0" w:space="0" w:color="auto"/>
        <w:left w:val="none" w:sz="0" w:space="0" w:color="auto"/>
        <w:bottom w:val="none" w:sz="0" w:space="0" w:color="auto"/>
        <w:right w:val="none" w:sz="0" w:space="0" w:color="auto"/>
      </w:divBdr>
    </w:div>
    <w:div w:id="1086809774">
      <w:bodyDiv w:val="1"/>
      <w:marLeft w:val="0"/>
      <w:marRight w:val="0"/>
      <w:marTop w:val="0"/>
      <w:marBottom w:val="0"/>
      <w:divBdr>
        <w:top w:val="none" w:sz="0" w:space="0" w:color="auto"/>
        <w:left w:val="none" w:sz="0" w:space="0" w:color="auto"/>
        <w:bottom w:val="none" w:sz="0" w:space="0" w:color="auto"/>
        <w:right w:val="none" w:sz="0" w:space="0" w:color="auto"/>
      </w:divBdr>
    </w:div>
    <w:div w:id="1087504438">
      <w:bodyDiv w:val="1"/>
      <w:marLeft w:val="0"/>
      <w:marRight w:val="0"/>
      <w:marTop w:val="0"/>
      <w:marBottom w:val="0"/>
      <w:divBdr>
        <w:top w:val="none" w:sz="0" w:space="0" w:color="auto"/>
        <w:left w:val="none" w:sz="0" w:space="0" w:color="auto"/>
        <w:bottom w:val="none" w:sz="0" w:space="0" w:color="auto"/>
        <w:right w:val="none" w:sz="0" w:space="0" w:color="auto"/>
      </w:divBdr>
    </w:div>
    <w:div w:id="1121264696">
      <w:bodyDiv w:val="1"/>
      <w:marLeft w:val="0"/>
      <w:marRight w:val="0"/>
      <w:marTop w:val="0"/>
      <w:marBottom w:val="0"/>
      <w:divBdr>
        <w:top w:val="none" w:sz="0" w:space="0" w:color="auto"/>
        <w:left w:val="none" w:sz="0" w:space="0" w:color="auto"/>
        <w:bottom w:val="none" w:sz="0" w:space="0" w:color="auto"/>
        <w:right w:val="none" w:sz="0" w:space="0" w:color="auto"/>
      </w:divBdr>
    </w:div>
    <w:div w:id="1123816020">
      <w:bodyDiv w:val="1"/>
      <w:marLeft w:val="0"/>
      <w:marRight w:val="0"/>
      <w:marTop w:val="0"/>
      <w:marBottom w:val="0"/>
      <w:divBdr>
        <w:top w:val="none" w:sz="0" w:space="0" w:color="auto"/>
        <w:left w:val="none" w:sz="0" w:space="0" w:color="auto"/>
        <w:bottom w:val="none" w:sz="0" w:space="0" w:color="auto"/>
        <w:right w:val="none" w:sz="0" w:space="0" w:color="auto"/>
      </w:divBdr>
    </w:div>
    <w:div w:id="1125657453">
      <w:bodyDiv w:val="1"/>
      <w:marLeft w:val="0"/>
      <w:marRight w:val="0"/>
      <w:marTop w:val="0"/>
      <w:marBottom w:val="0"/>
      <w:divBdr>
        <w:top w:val="none" w:sz="0" w:space="0" w:color="auto"/>
        <w:left w:val="none" w:sz="0" w:space="0" w:color="auto"/>
        <w:bottom w:val="none" w:sz="0" w:space="0" w:color="auto"/>
        <w:right w:val="none" w:sz="0" w:space="0" w:color="auto"/>
      </w:divBdr>
    </w:div>
    <w:div w:id="1133255556">
      <w:bodyDiv w:val="1"/>
      <w:marLeft w:val="0"/>
      <w:marRight w:val="0"/>
      <w:marTop w:val="0"/>
      <w:marBottom w:val="0"/>
      <w:divBdr>
        <w:top w:val="none" w:sz="0" w:space="0" w:color="auto"/>
        <w:left w:val="none" w:sz="0" w:space="0" w:color="auto"/>
        <w:bottom w:val="none" w:sz="0" w:space="0" w:color="auto"/>
        <w:right w:val="none" w:sz="0" w:space="0" w:color="auto"/>
      </w:divBdr>
    </w:div>
    <w:div w:id="1135100875">
      <w:bodyDiv w:val="1"/>
      <w:marLeft w:val="0"/>
      <w:marRight w:val="0"/>
      <w:marTop w:val="0"/>
      <w:marBottom w:val="0"/>
      <w:divBdr>
        <w:top w:val="none" w:sz="0" w:space="0" w:color="auto"/>
        <w:left w:val="none" w:sz="0" w:space="0" w:color="auto"/>
        <w:bottom w:val="none" w:sz="0" w:space="0" w:color="auto"/>
        <w:right w:val="none" w:sz="0" w:space="0" w:color="auto"/>
      </w:divBdr>
    </w:div>
    <w:div w:id="1138374697">
      <w:bodyDiv w:val="1"/>
      <w:marLeft w:val="0"/>
      <w:marRight w:val="0"/>
      <w:marTop w:val="0"/>
      <w:marBottom w:val="0"/>
      <w:divBdr>
        <w:top w:val="none" w:sz="0" w:space="0" w:color="auto"/>
        <w:left w:val="none" w:sz="0" w:space="0" w:color="auto"/>
        <w:bottom w:val="none" w:sz="0" w:space="0" w:color="auto"/>
        <w:right w:val="none" w:sz="0" w:space="0" w:color="auto"/>
      </w:divBdr>
    </w:div>
    <w:div w:id="1168793079">
      <w:bodyDiv w:val="1"/>
      <w:marLeft w:val="0"/>
      <w:marRight w:val="0"/>
      <w:marTop w:val="0"/>
      <w:marBottom w:val="0"/>
      <w:divBdr>
        <w:top w:val="none" w:sz="0" w:space="0" w:color="auto"/>
        <w:left w:val="none" w:sz="0" w:space="0" w:color="auto"/>
        <w:bottom w:val="none" w:sz="0" w:space="0" w:color="auto"/>
        <w:right w:val="none" w:sz="0" w:space="0" w:color="auto"/>
      </w:divBdr>
    </w:div>
    <w:div w:id="1171067345">
      <w:bodyDiv w:val="1"/>
      <w:marLeft w:val="0"/>
      <w:marRight w:val="0"/>
      <w:marTop w:val="0"/>
      <w:marBottom w:val="0"/>
      <w:divBdr>
        <w:top w:val="none" w:sz="0" w:space="0" w:color="auto"/>
        <w:left w:val="none" w:sz="0" w:space="0" w:color="auto"/>
        <w:bottom w:val="none" w:sz="0" w:space="0" w:color="auto"/>
        <w:right w:val="none" w:sz="0" w:space="0" w:color="auto"/>
      </w:divBdr>
    </w:div>
    <w:div w:id="1173955911">
      <w:bodyDiv w:val="1"/>
      <w:marLeft w:val="0"/>
      <w:marRight w:val="0"/>
      <w:marTop w:val="0"/>
      <w:marBottom w:val="0"/>
      <w:divBdr>
        <w:top w:val="none" w:sz="0" w:space="0" w:color="auto"/>
        <w:left w:val="none" w:sz="0" w:space="0" w:color="auto"/>
        <w:bottom w:val="none" w:sz="0" w:space="0" w:color="auto"/>
        <w:right w:val="none" w:sz="0" w:space="0" w:color="auto"/>
      </w:divBdr>
    </w:div>
    <w:div w:id="1176962480">
      <w:bodyDiv w:val="1"/>
      <w:marLeft w:val="0"/>
      <w:marRight w:val="0"/>
      <w:marTop w:val="0"/>
      <w:marBottom w:val="0"/>
      <w:divBdr>
        <w:top w:val="none" w:sz="0" w:space="0" w:color="auto"/>
        <w:left w:val="none" w:sz="0" w:space="0" w:color="auto"/>
        <w:bottom w:val="none" w:sz="0" w:space="0" w:color="auto"/>
        <w:right w:val="none" w:sz="0" w:space="0" w:color="auto"/>
      </w:divBdr>
    </w:div>
    <w:div w:id="1216045360">
      <w:bodyDiv w:val="1"/>
      <w:marLeft w:val="0"/>
      <w:marRight w:val="0"/>
      <w:marTop w:val="0"/>
      <w:marBottom w:val="0"/>
      <w:divBdr>
        <w:top w:val="none" w:sz="0" w:space="0" w:color="auto"/>
        <w:left w:val="none" w:sz="0" w:space="0" w:color="auto"/>
        <w:bottom w:val="none" w:sz="0" w:space="0" w:color="auto"/>
        <w:right w:val="none" w:sz="0" w:space="0" w:color="auto"/>
      </w:divBdr>
    </w:div>
    <w:div w:id="1227954396">
      <w:bodyDiv w:val="1"/>
      <w:marLeft w:val="0"/>
      <w:marRight w:val="0"/>
      <w:marTop w:val="0"/>
      <w:marBottom w:val="0"/>
      <w:divBdr>
        <w:top w:val="none" w:sz="0" w:space="0" w:color="auto"/>
        <w:left w:val="none" w:sz="0" w:space="0" w:color="auto"/>
        <w:bottom w:val="none" w:sz="0" w:space="0" w:color="auto"/>
        <w:right w:val="none" w:sz="0" w:space="0" w:color="auto"/>
      </w:divBdr>
    </w:div>
    <w:div w:id="1234706207">
      <w:bodyDiv w:val="1"/>
      <w:marLeft w:val="0"/>
      <w:marRight w:val="0"/>
      <w:marTop w:val="0"/>
      <w:marBottom w:val="0"/>
      <w:divBdr>
        <w:top w:val="none" w:sz="0" w:space="0" w:color="auto"/>
        <w:left w:val="none" w:sz="0" w:space="0" w:color="auto"/>
        <w:bottom w:val="none" w:sz="0" w:space="0" w:color="auto"/>
        <w:right w:val="none" w:sz="0" w:space="0" w:color="auto"/>
      </w:divBdr>
    </w:div>
    <w:div w:id="1237588711">
      <w:bodyDiv w:val="1"/>
      <w:marLeft w:val="0"/>
      <w:marRight w:val="0"/>
      <w:marTop w:val="0"/>
      <w:marBottom w:val="0"/>
      <w:divBdr>
        <w:top w:val="none" w:sz="0" w:space="0" w:color="auto"/>
        <w:left w:val="none" w:sz="0" w:space="0" w:color="auto"/>
        <w:bottom w:val="none" w:sz="0" w:space="0" w:color="auto"/>
        <w:right w:val="none" w:sz="0" w:space="0" w:color="auto"/>
      </w:divBdr>
    </w:div>
    <w:div w:id="1290234944">
      <w:bodyDiv w:val="1"/>
      <w:marLeft w:val="0"/>
      <w:marRight w:val="0"/>
      <w:marTop w:val="0"/>
      <w:marBottom w:val="0"/>
      <w:divBdr>
        <w:top w:val="none" w:sz="0" w:space="0" w:color="auto"/>
        <w:left w:val="none" w:sz="0" w:space="0" w:color="auto"/>
        <w:bottom w:val="none" w:sz="0" w:space="0" w:color="auto"/>
        <w:right w:val="none" w:sz="0" w:space="0" w:color="auto"/>
      </w:divBdr>
    </w:div>
    <w:div w:id="1296109345">
      <w:bodyDiv w:val="1"/>
      <w:marLeft w:val="0"/>
      <w:marRight w:val="0"/>
      <w:marTop w:val="0"/>
      <w:marBottom w:val="0"/>
      <w:divBdr>
        <w:top w:val="none" w:sz="0" w:space="0" w:color="auto"/>
        <w:left w:val="none" w:sz="0" w:space="0" w:color="auto"/>
        <w:bottom w:val="none" w:sz="0" w:space="0" w:color="auto"/>
        <w:right w:val="none" w:sz="0" w:space="0" w:color="auto"/>
      </w:divBdr>
    </w:div>
    <w:div w:id="1303392570">
      <w:bodyDiv w:val="1"/>
      <w:marLeft w:val="0"/>
      <w:marRight w:val="0"/>
      <w:marTop w:val="0"/>
      <w:marBottom w:val="0"/>
      <w:divBdr>
        <w:top w:val="none" w:sz="0" w:space="0" w:color="auto"/>
        <w:left w:val="none" w:sz="0" w:space="0" w:color="auto"/>
        <w:bottom w:val="none" w:sz="0" w:space="0" w:color="auto"/>
        <w:right w:val="none" w:sz="0" w:space="0" w:color="auto"/>
      </w:divBdr>
    </w:div>
    <w:div w:id="1307003366">
      <w:bodyDiv w:val="1"/>
      <w:marLeft w:val="0"/>
      <w:marRight w:val="0"/>
      <w:marTop w:val="0"/>
      <w:marBottom w:val="0"/>
      <w:divBdr>
        <w:top w:val="none" w:sz="0" w:space="0" w:color="auto"/>
        <w:left w:val="none" w:sz="0" w:space="0" w:color="auto"/>
        <w:bottom w:val="none" w:sz="0" w:space="0" w:color="auto"/>
        <w:right w:val="none" w:sz="0" w:space="0" w:color="auto"/>
      </w:divBdr>
    </w:div>
    <w:div w:id="1307979488">
      <w:bodyDiv w:val="1"/>
      <w:marLeft w:val="0"/>
      <w:marRight w:val="0"/>
      <w:marTop w:val="0"/>
      <w:marBottom w:val="0"/>
      <w:divBdr>
        <w:top w:val="none" w:sz="0" w:space="0" w:color="auto"/>
        <w:left w:val="none" w:sz="0" w:space="0" w:color="auto"/>
        <w:bottom w:val="none" w:sz="0" w:space="0" w:color="auto"/>
        <w:right w:val="none" w:sz="0" w:space="0" w:color="auto"/>
      </w:divBdr>
    </w:div>
    <w:div w:id="1349059668">
      <w:bodyDiv w:val="1"/>
      <w:marLeft w:val="0"/>
      <w:marRight w:val="0"/>
      <w:marTop w:val="0"/>
      <w:marBottom w:val="0"/>
      <w:divBdr>
        <w:top w:val="none" w:sz="0" w:space="0" w:color="auto"/>
        <w:left w:val="none" w:sz="0" w:space="0" w:color="auto"/>
        <w:bottom w:val="none" w:sz="0" w:space="0" w:color="auto"/>
        <w:right w:val="none" w:sz="0" w:space="0" w:color="auto"/>
      </w:divBdr>
    </w:div>
    <w:div w:id="1355572992">
      <w:bodyDiv w:val="1"/>
      <w:marLeft w:val="0"/>
      <w:marRight w:val="0"/>
      <w:marTop w:val="0"/>
      <w:marBottom w:val="0"/>
      <w:divBdr>
        <w:top w:val="none" w:sz="0" w:space="0" w:color="auto"/>
        <w:left w:val="none" w:sz="0" w:space="0" w:color="auto"/>
        <w:bottom w:val="none" w:sz="0" w:space="0" w:color="auto"/>
        <w:right w:val="none" w:sz="0" w:space="0" w:color="auto"/>
      </w:divBdr>
    </w:div>
    <w:div w:id="1371538270">
      <w:bodyDiv w:val="1"/>
      <w:marLeft w:val="0"/>
      <w:marRight w:val="0"/>
      <w:marTop w:val="0"/>
      <w:marBottom w:val="0"/>
      <w:divBdr>
        <w:top w:val="none" w:sz="0" w:space="0" w:color="auto"/>
        <w:left w:val="none" w:sz="0" w:space="0" w:color="auto"/>
        <w:bottom w:val="none" w:sz="0" w:space="0" w:color="auto"/>
        <w:right w:val="none" w:sz="0" w:space="0" w:color="auto"/>
      </w:divBdr>
    </w:div>
    <w:div w:id="1374302904">
      <w:bodyDiv w:val="1"/>
      <w:marLeft w:val="0"/>
      <w:marRight w:val="0"/>
      <w:marTop w:val="0"/>
      <w:marBottom w:val="0"/>
      <w:divBdr>
        <w:top w:val="none" w:sz="0" w:space="0" w:color="auto"/>
        <w:left w:val="none" w:sz="0" w:space="0" w:color="auto"/>
        <w:bottom w:val="none" w:sz="0" w:space="0" w:color="auto"/>
        <w:right w:val="none" w:sz="0" w:space="0" w:color="auto"/>
      </w:divBdr>
    </w:div>
    <w:div w:id="1389257949">
      <w:bodyDiv w:val="1"/>
      <w:marLeft w:val="0"/>
      <w:marRight w:val="0"/>
      <w:marTop w:val="0"/>
      <w:marBottom w:val="0"/>
      <w:divBdr>
        <w:top w:val="none" w:sz="0" w:space="0" w:color="auto"/>
        <w:left w:val="none" w:sz="0" w:space="0" w:color="auto"/>
        <w:bottom w:val="none" w:sz="0" w:space="0" w:color="auto"/>
        <w:right w:val="none" w:sz="0" w:space="0" w:color="auto"/>
      </w:divBdr>
    </w:div>
    <w:div w:id="1405033825">
      <w:bodyDiv w:val="1"/>
      <w:marLeft w:val="0"/>
      <w:marRight w:val="0"/>
      <w:marTop w:val="0"/>
      <w:marBottom w:val="0"/>
      <w:divBdr>
        <w:top w:val="none" w:sz="0" w:space="0" w:color="auto"/>
        <w:left w:val="none" w:sz="0" w:space="0" w:color="auto"/>
        <w:bottom w:val="none" w:sz="0" w:space="0" w:color="auto"/>
        <w:right w:val="none" w:sz="0" w:space="0" w:color="auto"/>
      </w:divBdr>
    </w:div>
    <w:div w:id="1411192437">
      <w:bodyDiv w:val="1"/>
      <w:marLeft w:val="0"/>
      <w:marRight w:val="0"/>
      <w:marTop w:val="0"/>
      <w:marBottom w:val="0"/>
      <w:divBdr>
        <w:top w:val="none" w:sz="0" w:space="0" w:color="auto"/>
        <w:left w:val="none" w:sz="0" w:space="0" w:color="auto"/>
        <w:bottom w:val="none" w:sz="0" w:space="0" w:color="auto"/>
        <w:right w:val="none" w:sz="0" w:space="0" w:color="auto"/>
      </w:divBdr>
    </w:div>
    <w:div w:id="1414745477">
      <w:bodyDiv w:val="1"/>
      <w:marLeft w:val="0"/>
      <w:marRight w:val="0"/>
      <w:marTop w:val="0"/>
      <w:marBottom w:val="0"/>
      <w:divBdr>
        <w:top w:val="none" w:sz="0" w:space="0" w:color="auto"/>
        <w:left w:val="none" w:sz="0" w:space="0" w:color="auto"/>
        <w:bottom w:val="none" w:sz="0" w:space="0" w:color="auto"/>
        <w:right w:val="none" w:sz="0" w:space="0" w:color="auto"/>
      </w:divBdr>
    </w:div>
    <w:div w:id="1463425392">
      <w:bodyDiv w:val="1"/>
      <w:marLeft w:val="0"/>
      <w:marRight w:val="0"/>
      <w:marTop w:val="0"/>
      <w:marBottom w:val="0"/>
      <w:divBdr>
        <w:top w:val="none" w:sz="0" w:space="0" w:color="auto"/>
        <w:left w:val="none" w:sz="0" w:space="0" w:color="auto"/>
        <w:bottom w:val="none" w:sz="0" w:space="0" w:color="auto"/>
        <w:right w:val="none" w:sz="0" w:space="0" w:color="auto"/>
      </w:divBdr>
    </w:div>
    <w:div w:id="1465343760">
      <w:bodyDiv w:val="1"/>
      <w:marLeft w:val="0"/>
      <w:marRight w:val="0"/>
      <w:marTop w:val="0"/>
      <w:marBottom w:val="0"/>
      <w:divBdr>
        <w:top w:val="none" w:sz="0" w:space="0" w:color="auto"/>
        <w:left w:val="none" w:sz="0" w:space="0" w:color="auto"/>
        <w:bottom w:val="none" w:sz="0" w:space="0" w:color="auto"/>
        <w:right w:val="none" w:sz="0" w:space="0" w:color="auto"/>
      </w:divBdr>
    </w:div>
    <w:div w:id="1502089253">
      <w:bodyDiv w:val="1"/>
      <w:marLeft w:val="0"/>
      <w:marRight w:val="0"/>
      <w:marTop w:val="0"/>
      <w:marBottom w:val="0"/>
      <w:divBdr>
        <w:top w:val="none" w:sz="0" w:space="0" w:color="auto"/>
        <w:left w:val="none" w:sz="0" w:space="0" w:color="auto"/>
        <w:bottom w:val="none" w:sz="0" w:space="0" w:color="auto"/>
        <w:right w:val="none" w:sz="0" w:space="0" w:color="auto"/>
      </w:divBdr>
    </w:div>
    <w:div w:id="1505239977">
      <w:bodyDiv w:val="1"/>
      <w:marLeft w:val="0"/>
      <w:marRight w:val="0"/>
      <w:marTop w:val="0"/>
      <w:marBottom w:val="0"/>
      <w:divBdr>
        <w:top w:val="none" w:sz="0" w:space="0" w:color="auto"/>
        <w:left w:val="none" w:sz="0" w:space="0" w:color="auto"/>
        <w:bottom w:val="none" w:sz="0" w:space="0" w:color="auto"/>
        <w:right w:val="none" w:sz="0" w:space="0" w:color="auto"/>
      </w:divBdr>
    </w:div>
    <w:div w:id="1506240836">
      <w:bodyDiv w:val="1"/>
      <w:marLeft w:val="0"/>
      <w:marRight w:val="0"/>
      <w:marTop w:val="0"/>
      <w:marBottom w:val="0"/>
      <w:divBdr>
        <w:top w:val="none" w:sz="0" w:space="0" w:color="auto"/>
        <w:left w:val="none" w:sz="0" w:space="0" w:color="auto"/>
        <w:bottom w:val="none" w:sz="0" w:space="0" w:color="auto"/>
        <w:right w:val="none" w:sz="0" w:space="0" w:color="auto"/>
      </w:divBdr>
    </w:div>
    <w:div w:id="1533111311">
      <w:bodyDiv w:val="1"/>
      <w:marLeft w:val="0"/>
      <w:marRight w:val="0"/>
      <w:marTop w:val="0"/>
      <w:marBottom w:val="0"/>
      <w:divBdr>
        <w:top w:val="none" w:sz="0" w:space="0" w:color="auto"/>
        <w:left w:val="none" w:sz="0" w:space="0" w:color="auto"/>
        <w:bottom w:val="none" w:sz="0" w:space="0" w:color="auto"/>
        <w:right w:val="none" w:sz="0" w:space="0" w:color="auto"/>
      </w:divBdr>
    </w:div>
    <w:div w:id="1563370879">
      <w:bodyDiv w:val="1"/>
      <w:marLeft w:val="0"/>
      <w:marRight w:val="0"/>
      <w:marTop w:val="0"/>
      <w:marBottom w:val="0"/>
      <w:divBdr>
        <w:top w:val="none" w:sz="0" w:space="0" w:color="auto"/>
        <w:left w:val="none" w:sz="0" w:space="0" w:color="auto"/>
        <w:bottom w:val="none" w:sz="0" w:space="0" w:color="auto"/>
        <w:right w:val="none" w:sz="0" w:space="0" w:color="auto"/>
      </w:divBdr>
    </w:div>
    <w:div w:id="1567454590">
      <w:bodyDiv w:val="1"/>
      <w:marLeft w:val="0"/>
      <w:marRight w:val="0"/>
      <w:marTop w:val="0"/>
      <w:marBottom w:val="0"/>
      <w:divBdr>
        <w:top w:val="none" w:sz="0" w:space="0" w:color="auto"/>
        <w:left w:val="none" w:sz="0" w:space="0" w:color="auto"/>
        <w:bottom w:val="none" w:sz="0" w:space="0" w:color="auto"/>
        <w:right w:val="none" w:sz="0" w:space="0" w:color="auto"/>
      </w:divBdr>
    </w:div>
    <w:div w:id="1595937995">
      <w:bodyDiv w:val="1"/>
      <w:marLeft w:val="0"/>
      <w:marRight w:val="0"/>
      <w:marTop w:val="0"/>
      <w:marBottom w:val="0"/>
      <w:divBdr>
        <w:top w:val="none" w:sz="0" w:space="0" w:color="auto"/>
        <w:left w:val="none" w:sz="0" w:space="0" w:color="auto"/>
        <w:bottom w:val="none" w:sz="0" w:space="0" w:color="auto"/>
        <w:right w:val="none" w:sz="0" w:space="0" w:color="auto"/>
      </w:divBdr>
    </w:div>
    <w:div w:id="1627084393">
      <w:bodyDiv w:val="1"/>
      <w:marLeft w:val="0"/>
      <w:marRight w:val="0"/>
      <w:marTop w:val="0"/>
      <w:marBottom w:val="0"/>
      <w:divBdr>
        <w:top w:val="none" w:sz="0" w:space="0" w:color="auto"/>
        <w:left w:val="none" w:sz="0" w:space="0" w:color="auto"/>
        <w:bottom w:val="none" w:sz="0" w:space="0" w:color="auto"/>
        <w:right w:val="none" w:sz="0" w:space="0" w:color="auto"/>
      </w:divBdr>
    </w:div>
    <w:div w:id="1632131518">
      <w:bodyDiv w:val="1"/>
      <w:marLeft w:val="0"/>
      <w:marRight w:val="0"/>
      <w:marTop w:val="0"/>
      <w:marBottom w:val="0"/>
      <w:divBdr>
        <w:top w:val="none" w:sz="0" w:space="0" w:color="auto"/>
        <w:left w:val="none" w:sz="0" w:space="0" w:color="auto"/>
        <w:bottom w:val="none" w:sz="0" w:space="0" w:color="auto"/>
        <w:right w:val="none" w:sz="0" w:space="0" w:color="auto"/>
      </w:divBdr>
    </w:div>
    <w:div w:id="1636989340">
      <w:bodyDiv w:val="1"/>
      <w:marLeft w:val="0"/>
      <w:marRight w:val="0"/>
      <w:marTop w:val="0"/>
      <w:marBottom w:val="0"/>
      <w:divBdr>
        <w:top w:val="none" w:sz="0" w:space="0" w:color="auto"/>
        <w:left w:val="none" w:sz="0" w:space="0" w:color="auto"/>
        <w:bottom w:val="none" w:sz="0" w:space="0" w:color="auto"/>
        <w:right w:val="none" w:sz="0" w:space="0" w:color="auto"/>
      </w:divBdr>
    </w:div>
    <w:div w:id="1661612439">
      <w:bodyDiv w:val="1"/>
      <w:marLeft w:val="0"/>
      <w:marRight w:val="0"/>
      <w:marTop w:val="0"/>
      <w:marBottom w:val="0"/>
      <w:divBdr>
        <w:top w:val="none" w:sz="0" w:space="0" w:color="auto"/>
        <w:left w:val="none" w:sz="0" w:space="0" w:color="auto"/>
        <w:bottom w:val="none" w:sz="0" w:space="0" w:color="auto"/>
        <w:right w:val="none" w:sz="0" w:space="0" w:color="auto"/>
      </w:divBdr>
    </w:div>
    <w:div w:id="1662350982">
      <w:bodyDiv w:val="1"/>
      <w:marLeft w:val="0"/>
      <w:marRight w:val="0"/>
      <w:marTop w:val="0"/>
      <w:marBottom w:val="0"/>
      <w:divBdr>
        <w:top w:val="none" w:sz="0" w:space="0" w:color="auto"/>
        <w:left w:val="none" w:sz="0" w:space="0" w:color="auto"/>
        <w:bottom w:val="none" w:sz="0" w:space="0" w:color="auto"/>
        <w:right w:val="none" w:sz="0" w:space="0" w:color="auto"/>
      </w:divBdr>
    </w:div>
    <w:div w:id="1684437488">
      <w:bodyDiv w:val="1"/>
      <w:marLeft w:val="0"/>
      <w:marRight w:val="0"/>
      <w:marTop w:val="0"/>
      <w:marBottom w:val="0"/>
      <w:divBdr>
        <w:top w:val="none" w:sz="0" w:space="0" w:color="auto"/>
        <w:left w:val="none" w:sz="0" w:space="0" w:color="auto"/>
        <w:bottom w:val="none" w:sz="0" w:space="0" w:color="auto"/>
        <w:right w:val="none" w:sz="0" w:space="0" w:color="auto"/>
      </w:divBdr>
    </w:div>
    <w:div w:id="1708676999">
      <w:bodyDiv w:val="1"/>
      <w:marLeft w:val="0"/>
      <w:marRight w:val="0"/>
      <w:marTop w:val="0"/>
      <w:marBottom w:val="0"/>
      <w:divBdr>
        <w:top w:val="none" w:sz="0" w:space="0" w:color="auto"/>
        <w:left w:val="none" w:sz="0" w:space="0" w:color="auto"/>
        <w:bottom w:val="none" w:sz="0" w:space="0" w:color="auto"/>
        <w:right w:val="none" w:sz="0" w:space="0" w:color="auto"/>
      </w:divBdr>
    </w:div>
    <w:div w:id="1747342910">
      <w:bodyDiv w:val="1"/>
      <w:marLeft w:val="0"/>
      <w:marRight w:val="0"/>
      <w:marTop w:val="0"/>
      <w:marBottom w:val="0"/>
      <w:divBdr>
        <w:top w:val="none" w:sz="0" w:space="0" w:color="auto"/>
        <w:left w:val="none" w:sz="0" w:space="0" w:color="auto"/>
        <w:bottom w:val="none" w:sz="0" w:space="0" w:color="auto"/>
        <w:right w:val="none" w:sz="0" w:space="0" w:color="auto"/>
      </w:divBdr>
    </w:div>
    <w:div w:id="1766531432">
      <w:bodyDiv w:val="1"/>
      <w:marLeft w:val="0"/>
      <w:marRight w:val="0"/>
      <w:marTop w:val="0"/>
      <w:marBottom w:val="0"/>
      <w:divBdr>
        <w:top w:val="none" w:sz="0" w:space="0" w:color="auto"/>
        <w:left w:val="none" w:sz="0" w:space="0" w:color="auto"/>
        <w:bottom w:val="none" w:sz="0" w:space="0" w:color="auto"/>
        <w:right w:val="none" w:sz="0" w:space="0" w:color="auto"/>
      </w:divBdr>
    </w:div>
    <w:div w:id="1807501394">
      <w:bodyDiv w:val="1"/>
      <w:marLeft w:val="0"/>
      <w:marRight w:val="0"/>
      <w:marTop w:val="0"/>
      <w:marBottom w:val="0"/>
      <w:divBdr>
        <w:top w:val="none" w:sz="0" w:space="0" w:color="auto"/>
        <w:left w:val="none" w:sz="0" w:space="0" w:color="auto"/>
        <w:bottom w:val="none" w:sz="0" w:space="0" w:color="auto"/>
        <w:right w:val="none" w:sz="0" w:space="0" w:color="auto"/>
      </w:divBdr>
    </w:div>
    <w:div w:id="1846048669">
      <w:bodyDiv w:val="1"/>
      <w:marLeft w:val="0"/>
      <w:marRight w:val="0"/>
      <w:marTop w:val="0"/>
      <w:marBottom w:val="0"/>
      <w:divBdr>
        <w:top w:val="none" w:sz="0" w:space="0" w:color="auto"/>
        <w:left w:val="none" w:sz="0" w:space="0" w:color="auto"/>
        <w:bottom w:val="none" w:sz="0" w:space="0" w:color="auto"/>
        <w:right w:val="none" w:sz="0" w:space="0" w:color="auto"/>
      </w:divBdr>
    </w:div>
    <w:div w:id="1856723215">
      <w:bodyDiv w:val="1"/>
      <w:marLeft w:val="0"/>
      <w:marRight w:val="0"/>
      <w:marTop w:val="0"/>
      <w:marBottom w:val="0"/>
      <w:divBdr>
        <w:top w:val="none" w:sz="0" w:space="0" w:color="auto"/>
        <w:left w:val="none" w:sz="0" w:space="0" w:color="auto"/>
        <w:bottom w:val="none" w:sz="0" w:space="0" w:color="auto"/>
        <w:right w:val="none" w:sz="0" w:space="0" w:color="auto"/>
      </w:divBdr>
    </w:div>
    <w:div w:id="1880046554">
      <w:bodyDiv w:val="1"/>
      <w:marLeft w:val="0"/>
      <w:marRight w:val="0"/>
      <w:marTop w:val="0"/>
      <w:marBottom w:val="0"/>
      <w:divBdr>
        <w:top w:val="none" w:sz="0" w:space="0" w:color="auto"/>
        <w:left w:val="none" w:sz="0" w:space="0" w:color="auto"/>
        <w:bottom w:val="none" w:sz="0" w:space="0" w:color="auto"/>
        <w:right w:val="none" w:sz="0" w:space="0" w:color="auto"/>
      </w:divBdr>
    </w:div>
    <w:div w:id="1888031347">
      <w:bodyDiv w:val="1"/>
      <w:marLeft w:val="0"/>
      <w:marRight w:val="0"/>
      <w:marTop w:val="0"/>
      <w:marBottom w:val="0"/>
      <w:divBdr>
        <w:top w:val="none" w:sz="0" w:space="0" w:color="auto"/>
        <w:left w:val="none" w:sz="0" w:space="0" w:color="auto"/>
        <w:bottom w:val="none" w:sz="0" w:space="0" w:color="auto"/>
        <w:right w:val="none" w:sz="0" w:space="0" w:color="auto"/>
      </w:divBdr>
    </w:div>
    <w:div w:id="1901598196">
      <w:bodyDiv w:val="1"/>
      <w:marLeft w:val="0"/>
      <w:marRight w:val="0"/>
      <w:marTop w:val="0"/>
      <w:marBottom w:val="0"/>
      <w:divBdr>
        <w:top w:val="none" w:sz="0" w:space="0" w:color="auto"/>
        <w:left w:val="none" w:sz="0" w:space="0" w:color="auto"/>
        <w:bottom w:val="none" w:sz="0" w:space="0" w:color="auto"/>
        <w:right w:val="none" w:sz="0" w:space="0" w:color="auto"/>
      </w:divBdr>
    </w:div>
    <w:div w:id="1909537279">
      <w:bodyDiv w:val="1"/>
      <w:marLeft w:val="0"/>
      <w:marRight w:val="0"/>
      <w:marTop w:val="0"/>
      <w:marBottom w:val="0"/>
      <w:divBdr>
        <w:top w:val="none" w:sz="0" w:space="0" w:color="auto"/>
        <w:left w:val="none" w:sz="0" w:space="0" w:color="auto"/>
        <w:bottom w:val="none" w:sz="0" w:space="0" w:color="auto"/>
        <w:right w:val="none" w:sz="0" w:space="0" w:color="auto"/>
      </w:divBdr>
    </w:div>
    <w:div w:id="1921862508">
      <w:bodyDiv w:val="1"/>
      <w:marLeft w:val="0"/>
      <w:marRight w:val="0"/>
      <w:marTop w:val="0"/>
      <w:marBottom w:val="0"/>
      <w:divBdr>
        <w:top w:val="none" w:sz="0" w:space="0" w:color="auto"/>
        <w:left w:val="none" w:sz="0" w:space="0" w:color="auto"/>
        <w:bottom w:val="none" w:sz="0" w:space="0" w:color="auto"/>
        <w:right w:val="none" w:sz="0" w:space="0" w:color="auto"/>
      </w:divBdr>
    </w:div>
    <w:div w:id="1928688863">
      <w:bodyDiv w:val="1"/>
      <w:marLeft w:val="0"/>
      <w:marRight w:val="0"/>
      <w:marTop w:val="0"/>
      <w:marBottom w:val="0"/>
      <w:divBdr>
        <w:top w:val="none" w:sz="0" w:space="0" w:color="auto"/>
        <w:left w:val="none" w:sz="0" w:space="0" w:color="auto"/>
        <w:bottom w:val="none" w:sz="0" w:space="0" w:color="auto"/>
        <w:right w:val="none" w:sz="0" w:space="0" w:color="auto"/>
      </w:divBdr>
    </w:div>
    <w:div w:id="1933665854">
      <w:bodyDiv w:val="1"/>
      <w:marLeft w:val="0"/>
      <w:marRight w:val="0"/>
      <w:marTop w:val="0"/>
      <w:marBottom w:val="0"/>
      <w:divBdr>
        <w:top w:val="none" w:sz="0" w:space="0" w:color="auto"/>
        <w:left w:val="none" w:sz="0" w:space="0" w:color="auto"/>
        <w:bottom w:val="none" w:sz="0" w:space="0" w:color="auto"/>
        <w:right w:val="none" w:sz="0" w:space="0" w:color="auto"/>
      </w:divBdr>
    </w:div>
    <w:div w:id="1947927173">
      <w:bodyDiv w:val="1"/>
      <w:marLeft w:val="0"/>
      <w:marRight w:val="0"/>
      <w:marTop w:val="0"/>
      <w:marBottom w:val="0"/>
      <w:divBdr>
        <w:top w:val="none" w:sz="0" w:space="0" w:color="auto"/>
        <w:left w:val="none" w:sz="0" w:space="0" w:color="auto"/>
        <w:bottom w:val="none" w:sz="0" w:space="0" w:color="auto"/>
        <w:right w:val="none" w:sz="0" w:space="0" w:color="auto"/>
      </w:divBdr>
    </w:div>
    <w:div w:id="1951355334">
      <w:bodyDiv w:val="1"/>
      <w:marLeft w:val="0"/>
      <w:marRight w:val="0"/>
      <w:marTop w:val="0"/>
      <w:marBottom w:val="0"/>
      <w:divBdr>
        <w:top w:val="none" w:sz="0" w:space="0" w:color="auto"/>
        <w:left w:val="none" w:sz="0" w:space="0" w:color="auto"/>
        <w:bottom w:val="none" w:sz="0" w:space="0" w:color="auto"/>
        <w:right w:val="none" w:sz="0" w:space="0" w:color="auto"/>
      </w:divBdr>
    </w:div>
    <w:div w:id="1955556767">
      <w:bodyDiv w:val="1"/>
      <w:marLeft w:val="0"/>
      <w:marRight w:val="0"/>
      <w:marTop w:val="0"/>
      <w:marBottom w:val="0"/>
      <w:divBdr>
        <w:top w:val="none" w:sz="0" w:space="0" w:color="auto"/>
        <w:left w:val="none" w:sz="0" w:space="0" w:color="auto"/>
        <w:bottom w:val="none" w:sz="0" w:space="0" w:color="auto"/>
        <w:right w:val="none" w:sz="0" w:space="0" w:color="auto"/>
      </w:divBdr>
    </w:div>
    <w:div w:id="1964575943">
      <w:bodyDiv w:val="1"/>
      <w:marLeft w:val="0"/>
      <w:marRight w:val="0"/>
      <w:marTop w:val="0"/>
      <w:marBottom w:val="0"/>
      <w:divBdr>
        <w:top w:val="none" w:sz="0" w:space="0" w:color="auto"/>
        <w:left w:val="none" w:sz="0" w:space="0" w:color="auto"/>
        <w:bottom w:val="none" w:sz="0" w:space="0" w:color="auto"/>
        <w:right w:val="none" w:sz="0" w:space="0" w:color="auto"/>
      </w:divBdr>
    </w:div>
    <w:div w:id="1996957914">
      <w:bodyDiv w:val="1"/>
      <w:marLeft w:val="0"/>
      <w:marRight w:val="0"/>
      <w:marTop w:val="0"/>
      <w:marBottom w:val="0"/>
      <w:divBdr>
        <w:top w:val="none" w:sz="0" w:space="0" w:color="auto"/>
        <w:left w:val="none" w:sz="0" w:space="0" w:color="auto"/>
        <w:bottom w:val="none" w:sz="0" w:space="0" w:color="auto"/>
        <w:right w:val="none" w:sz="0" w:space="0" w:color="auto"/>
      </w:divBdr>
    </w:div>
    <w:div w:id="2018382926">
      <w:bodyDiv w:val="1"/>
      <w:marLeft w:val="0"/>
      <w:marRight w:val="0"/>
      <w:marTop w:val="0"/>
      <w:marBottom w:val="0"/>
      <w:divBdr>
        <w:top w:val="none" w:sz="0" w:space="0" w:color="auto"/>
        <w:left w:val="none" w:sz="0" w:space="0" w:color="auto"/>
        <w:bottom w:val="none" w:sz="0" w:space="0" w:color="auto"/>
        <w:right w:val="none" w:sz="0" w:space="0" w:color="auto"/>
      </w:divBdr>
    </w:div>
    <w:div w:id="2028942862">
      <w:bodyDiv w:val="1"/>
      <w:marLeft w:val="0"/>
      <w:marRight w:val="0"/>
      <w:marTop w:val="0"/>
      <w:marBottom w:val="0"/>
      <w:divBdr>
        <w:top w:val="none" w:sz="0" w:space="0" w:color="auto"/>
        <w:left w:val="none" w:sz="0" w:space="0" w:color="auto"/>
        <w:bottom w:val="none" w:sz="0" w:space="0" w:color="auto"/>
        <w:right w:val="none" w:sz="0" w:space="0" w:color="auto"/>
      </w:divBdr>
    </w:div>
    <w:div w:id="2041663239">
      <w:bodyDiv w:val="1"/>
      <w:marLeft w:val="0"/>
      <w:marRight w:val="0"/>
      <w:marTop w:val="0"/>
      <w:marBottom w:val="0"/>
      <w:divBdr>
        <w:top w:val="none" w:sz="0" w:space="0" w:color="auto"/>
        <w:left w:val="none" w:sz="0" w:space="0" w:color="auto"/>
        <w:bottom w:val="none" w:sz="0" w:space="0" w:color="auto"/>
        <w:right w:val="none" w:sz="0" w:space="0" w:color="auto"/>
      </w:divBdr>
    </w:div>
    <w:div w:id="2045867606">
      <w:bodyDiv w:val="1"/>
      <w:marLeft w:val="0"/>
      <w:marRight w:val="0"/>
      <w:marTop w:val="0"/>
      <w:marBottom w:val="0"/>
      <w:divBdr>
        <w:top w:val="none" w:sz="0" w:space="0" w:color="auto"/>
        <w:left w:val="none" w:sz="0" w:space="0" w:color="auto"/>
        <w:bottom w:val="none" w:sz="0" w:space="0" w:color="auto"/>
        <w:right w:val="none" w:sz="0" w:space="0" w:color="auto"/>
      </w:divBdr>
    </w:div>
    <w:div w:id="2048289388">
      <w:bodyDiv w:val="1"/>
      <w:marLeft w:val="0"/>
      <w:marRight w:val="0"/>
      <w:marTop w:val="0"/>
      <w:marBottom w:val="0"/>
      <w:divBdr>
        <w:top w:val="none" w:sz="0" w:space="0" w:color="auto"/>
        <w:left w:val="none" w:sz="0" w:space="0" w:color="auto"/>
        <w:bottom w:val="none" w:sz="0" w:space="0" w:color="auto"/>
        <w:right w:val="none" w:sz="0" w:space="0" w:color="auto"/>
      </w:divBdr>
    </w:div>
    <w:div w:id="2056615643">
      <w:bodyDiv w:val="1"/>
      <w:marLeft w:val="0"/>
      <w:marRight w:val="0"/>
      <w:marTop w:val="0"/>
      <w:marBottom w:val="0"/>
      <w:divBdr>
        <w:top w:val="none" w:sz="0" w:space="0" w:color="auto"/>
        <w:left w:val="none" w:sz="0" w:space="0" w:color="auto"/>
        <w:bottom w:val="none" w:sz="0" w:space="0" w:color="auto"/>
        <w:right w:val="none" w:sz="0" w:space="0" w:color="auto"/>
      </w:divBdr>
    </w:div>
    <w:div w:id="2070377605">
      <w:bodyDiv w:val="1"/>
      <w:marLeft w:val="0"/>
      <w:marRight w:val="0"/>
      <w:marTop w:val="0"/>
      <w:marBottom w:val="0"/>
      <w:divBdr>
        <w:top w:val="none" w:sz="0" w:space="0" w:color="auto"/>
        <w:left w:val="none" w:sz="0" w:space="0" w:color="auto"/>
        <w:bottom w:val="none" w:sz="0" w:space="0" w:color="auto"/>
        <w:right w:val="none" w:sz="0" w:space="0" w:color="auto"/>
      </w:divBdr>
    </w:div>
    <w:div w:id="2081247044">
      <w:bodyDiv w:val="1"/>
      <w:marLeft w:val="0"/>
      <w:marRight w:val="0"/>
      <w:marTop w:val="0"/>
      <w:marBottom w:val="0"/>
      <w:divBdr>
        <w:top w:val="none" w:sz="0" w:space="0" w:color="auto"/>
        <w:left w:val="none" w:sz="0" w:space="0" w:color="auto"/>
        <w:bottom w:val="none" w:sz="0" w:space="0" w:color="auto"/>
        <w:right w:val="none" w:sz="0" w:space="0" w:color="auto"/>
      </w:divBdr>
    </w:div>
    <w:div w:id="2092922391">
      <w:bodyDiv w:val="1"/>
      <w:marLeft w:val="0"/>
      <w:marRight w:val="0"/>
      <w:marTop w:val="0"/>
      <w:marBottom w:val="0"/>
      <w:divBdr>
        <w:top w:val="none" w:sz="0" w:space="0" w:color="auto"/>
        <w:left w:val="none" w:sz="0" w:space="0" w:color="auto"/>
        <w:bottom w:val="none" w:sz="0" w:space="0" w:color="auto"/>
        <w:right w:val="none" w:sz="0" w:space="0" w:color="auto"/>
      </w:divBdr>
    </w:div>
    <w:div w:id="2095668439">
      <w:bodyDiv w:val="1"/>
      <w:marLeft w:val="0"/>
      <w:marRight w:val="0"/>
      <w:marTop w:val="0"/>
      <w:marBottom w:val="0"/>
      <w:divBdr>
        <w:top w:val="none" w:sz="0" w:space="0" w:color="auto"/>
        <w:left w:val="none" w:sz="0" w:space="0" w:color="auto"/>
        <w:bottom w:val="none" w:sz="0" w:space="0" w:color="auto"/>
        <w:right w:val="none" w:sz="0" w:space="0" w:color="auto"/>
      </w:divBdr>
    </w:div>
    <w:div w:id="209879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risonlegalnews.org/news/2015/jul/31/pell-grants-prisoners-new-bil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ildtrends.org/?indicators=young-adults-in-jail-or-priso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D4B754B2CDC5488C79AA8713A83789" ma:contentTypeVersion="2" ma:contentTypeDescription="Create a new document." ma:contentTypeScope="" ma:versionID="0c7c3dfe16b74e5bfb4ff4abeaabc9a9">
  <xsd:schema xmlns:xsd="http://www.w3.org/2001/XMLSchema" xmlns:xs="http://www.w3.org/2001/XMLSchema" xmlns:p="http://schemas.microsoft.com/office/2006/metadata/properties" xmlns:ns2="3d4d5e22-b6c0-4bf3-b091-8ee369d33177" xmlns:ns3="3868f08e-0f69-4884-a77a-88a4a0af90cb" xmlns:ns4="c3d98b52-4995-4acc-9518-6977a785e2d7" targetNamespace="http://schemas.microsoft.com/office/2006/metadata/properties" ma:root="true" ma:fieldsID="58cb18a50ace3158826f7540a31cb5af" ns2:_="" ns3:_="" ns4:_="">
    <xsd:import namespace="3d4d5e22-b6c0-4bf3-b091-8ee369d33177"/>
    <xsd:import namespace="3868f08e-0f69-4884-a77a-88a4a0af90cb"/>
    <xsd:import namespace="c3d98b52-4995-4acc-9518-6977a785e2d7"/>
    <xsd:element name="properties">
      <xsd:complexType>
        <xsd:sequence>
          <xsd:element name="documentManagement">
            <xsd:complexType>
              <xsd:all>
                <xsd:element ref="ns2:SharedWithUsers" minOccurs="0"/>
                <xsd:element ref="ns3:SharingHintHash" minOccurs="0"/>
                <xsd:element ref="ns2: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d5e22-b6c0-4bf3-b091-8ee369d3317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68f08e-0f69-4884-a77a-88a4a0af90cb" elementFormDefault="qualified">
    <xsd:import namespace="http://schemas.microsoft.com/office/2006/documentManagement/types"/>
    <xsd:import namespace="http://schemas.microsoft.com/office/infopath/2007/PartnerControls"/>
    <xsd:element name="SharingHintHash" ma:index="9"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d98b52-4995-4acc-9518-6977a785e2d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d4d5e22-b6c0-4bf3-b091-8ee369d33177">
      <UserInfo>
        <DisplayName>Ajinkya, Julie</DisplayName>
        <AccountId>48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CHICAGO.XSL" StyleName="Chicago" Version="16">
  <b:Source>
    <b:Tag>Penn</b:Tag>
    <b:SourceType>Report</b:SourceType>
    <b:Guid>{69F56393-2BBA-415E-A6A6-0D1E38B279C9}</b:Guid>
    <b:Title>2018 Indicators of Higher Education Equity in the United States: Historical Trend Report</b:Title>
    <b:Year>2018</b:Year>
    <b:City>Washington, DC</b:City>
    <b:Publisher>The Pell Institute for the Study of Opportunity in Higher Education, Council for Opportunity in Education (COE), and Alliance for Higher Education and Democracy of the University of Pennsylvania (PennAHEAD)</b:Publisher>
    <b:Author>
      <b:Author>
        <b:NameList>
          <b:Person>
            <b:Last>Cahalan</b:Last>
            <b:First>M</b:First>
          </b:Person>
          <b:Person>
            <b:Last>Perna</b:Last>
            <b:Middle>W</b:Middle>
            <b:First>L</b:First>
          </b:Person>
          <b:Person>
            <b:Last>Yamashita</b:Last>
            <b:First>M</b:First>
          </b:Person>
          <b:Person>
            <b:Last>Wright</b:Last>
            <b:First>J</b:First>
          </b:Person>
          <b:Person>
            <b:Last>Santillan</b:Last>
            <b:First>S</b:First>
          </b:Person>
        </b:NameList>
      </b:Author>
    </b:Author>
    <b:RefOrder>1</b:RefOrder>
  </b:Source>
  <b:Source>
    <b:Tag>Geh97</b:Tag>
    <b:SourceType>JournalArticle</b:SourceType>
    <b:Guid>{094D138D-6FFE-484C-B3F8-931F7A69608B}</b:Guid>
    <b:Title>Post-Secondary Education for Inmates: An Historical Inquiry</b:Title>
    <b:Year>1997</b:Year>
    <b:JournalName>Journal of Correctional Education</b:JournalName>
    <b:Pages>46-55</b:Pages>
    <b:Author>
      <b:Author>
        <b:NameList>
          <b:Person>
            <b:Last>Gehring</b:Last>
            <b:First>T</b:First>
          </b:Person>
        </b:NameList>
      </b:Author>
    </b:Author>
    <b:RefOrder>2</b:RefOrder>
  </b:Source>
  <b:Source>
    <b:Tag>1994</b:Tag>
    <b:SourceType>ArticleInAPeriodical</b:SourceType>
    <b:Guid>{3297FEE9-4224-4E74-943B-BD4F239FFFFD}</b:Guid>
    <b:Title>Pell Grants: Are Prisoners the Program's Biggest Problem?</b:Title>
    <b:Year>1994</b:Year>
    <b:Pages>1-8</b:Pages>
    <b:Author>
      <b:Author>
        <b:Corporate>Institute for Higher Education Policy</b:Corporate>
      </b:Author>
    </b:Author>
    <b:PeriodicalTitle>Policy Steps</b:PeriodicalTitle>
    <b:Month>Spring</b:Month>
    <b:RefOrder>4</b:RefOrder>
  </b:Source>
  <b:Source>
    <b:Tag>BJS1995</b:Tag>
    <b:SourceType>Report</b:SourceType>
    <b:Guid>{CEAC7DB7-D1D0-47FD-BE3E-A766AF3238CE}</b:Guid>
    <b:Title>Prisoners in 1994</b:Title>
    <b:Year>1995</b:Year>
    <b:Publisher>United States Department of Justice, Office of Justice Programs, Bureau of Justice Statistics</b:Publisher>
    <b:City>Washington, DC</b:City>
    <b:ThesisType>Bulletin</b:ThesisType>
    <b:Author>
      <b:Author>
        <b:NameList>
          <b:Person>
            <b:Last>Beck</b:Last>
            <b:Middle>J</b:Middle>
            <b:First>A</b:First>
          </b:Person>
          <b:Person>
            <b:Last>Gilliard</b:Last>
            <b:Middle>K</b:Middle>
            <b:First>D</b:First>
          </b:Person>
        </b:NameList>
      </b:Author>
    </b:Author>
    <b:RefOrder>3</b:RefOrder>
  </b:Source>
  <b:Source>
    <b:Tag>Alexander</b:Tag>
    <b:SourceType>Book</b:SourceType>
    <b:Guid>{0BC40B58-5175-4C9F-AB7F-319592BD2D0E}</b:Guid>
    <b:Title>The New Jim Crow: Mass Incarceration in the Age of Colorblindness</b:Title>
    <b:Year>2012</b:Year>
    <b:Publisher>The New Press</b:Publisher>
    <b:City>New York</b:City>
    <b:Author>
      <b:Author>
        <b:NameList>
          <b:Person>
            <b:Last>Alexander</b:Last>
            <b:First>M</b:First>
          </b:Person>
        </b:NameList>
      </b:Author>
    </b:Author>
    <b:RefOrder>10</b:RefOrder>
  </b:Source>
  <b:Source>
    <b:Tag>Got15</b:Tag>
    <b:SourceType>Book</b:SourceType>
    <b:Guid>{18E9163D-9B17-4C76-9884-94C64F78108F}</b:Guid>
    <b:Title>Caught: The Prison State and the Lockdown of American Politics</b:Title>
    <b:Year>2015</b:Year>
    <b:City>Princeton, NJ</b:City>
    <b:Publisher>Princeton University Press</b:Publisher>
    <b:Author>
      <b:Author>
        <b:NameList>
          <b:Person>
            <b:Last>Gottschalk</b:Last>
            <b:First>M</b:First>
          </b:Person>
        </b:NameList>
      </b:Author>
    </b:Author>
    <b:RefOrder>11</b:RefOrder>
  </b:Source>
  <b:Source>
    <b:Tag>Wes06</b:Tag>
    <b:SourceType>Book</b:SourceType>
    <b:Guid>{8D950903-B062-40C8-9B2A-D4D2DF24ADCE}</b:Guid>
    <b:Title>Punishment and Inequality in America</b:Title>
    <b:Year>2006</b:Year>
    <b:City>New York</b:City>
    <b:Publisher>Russell Sage Foundation</b:Publisher>
    <b:Author>
      <b:Author>
        <b:NameList>
          <b:Person>
            <b:Last>Western</b:Last>
            <b:First>B</b:First>
          </b:Person>
        </b:NameList>
      </b:Author>
    </b:Author>
    <b:RefOrder>12</b:RefOrder>
  </b:Source>
  <b:Source>
    <b:Tag>Cle07</b:Tag>
    <b:SourceType>Book</b:SourceType>
    <b:Guid>{47E62E35-0FA8-46F3-A8EC-774BCBF3CC16}</b:Guid>
    <b:Title>Imprisoning Communities: How Mass Incarceration Makes Disadvantaged Communities Worse</b:Title>
    <b:Year>2007</b:Year>
    <b:City>New York</b:City>
    <b:Publisher>Oxford University Press</b:Publisher>
    <b:Author>
      <b:Author>
        <b:NameList>
          <b:Person>
            <b:Last>Clear</b:Last>
            <b:Middle>R</b:Middle>
            <b:First>T</b:First>
          </b:Person>
        </b:NameList>
      </b:Author>
    </b:Author>
    <b:RefOrder>13</b:RefOrder>
  </b:Source>
  <b:Source>
    <b:Tag>PrisonPolicy</b:Tag>
    <b:SourceType>Report</b:SourceType>
    <b:Guid>{7675973A-1B73-408A-8072-BE363508243A}</b:Guid>
    <b:Title>Breaking Down Mass Incarceration in the 2010 Census: State-by-State Incarceration Rates by Race/Ethnicity</b:Title>
    <b:Year>2014</b:Year>
    <b:Publisher>Prison Policy Initiative</b:Publisher>
    <b:ThesisType>Briefing</b:ThesisType>
    <b:Author>
      <b:Author>
        <b:NameList>
          <b:Person>
            <b:Last>Sakala</b:Last>
            <b:First>L</b:First>
          </b:Person>
        </b:NameList>
      </b:Author>
    </b:Author>
    <b:RefOrder>5</b:RefOrder>
  </b:Source>
  <b:Source>
    <b:Tag>Rab15</b:Tag>
    <b:SourceType>Report</b:SourceType>
    <b:Guid>{A880F509-0CC0-4E96-A7BE-C43B775EC700}</b:Guid>
    <b:Title>Prisons of Poverty: Uncovering the Pre-Incarceration Incomes of the Imprisoned</b:Title>
    <b:Year>2015</b:Year>
    <b:Publisher>Prison Policy Initiative</b:Publisher>
    <b:ThesisType>Briefing</b:ThesisType>
    <b:Author>
      <b:Author>
        <b:NameList>
          <b:Person>
            <b:Last>Rabuy</b:Last>
            <b:First>B</b:First>
          </b:Person>
          <b:Person>
            <b:Last>Kopf</b:Last>
            <b:First>D</b:First>
          </b:Person>
        </b:NameList>
      </b:Author>
    </b:Author>
    <b:RefOrder>6</b:RefOrder>
  </b:Source>
  <b:Source>
    <b:Tag>Nic17</b:Tag>
    <b:SourceType>Report</b:SourceType>
    <b:Guid>{FE9CF7B9-80FB-4BB1-A8EA-953F6CE260CE}</b:Guid>
    <b:Title>A Look at Black Student Success: Identifying Top- and Bottom-Performing Institutions</b:Title>
    <b:Year>2017</b:Year>
    <b:Publisher>The Education Trust</b:Publisher>
    <b:City>Washington, DC</b:City>
    <b:Author>
      <b:Author>
        <b:NameList>
          <b:Person>
            <b:Last>Nichols</b:Last>
            <b:Middle>H</b:Middle>
            <b:First>A</b:First>
          </b:Person>
          <b:Person>
            <b:Last>Evans-Bell</b:Last>
            <b:First>D</b:First>
          </b:Person>
        </b:NameList>
      </b:Author>
    </b:Author>
    <b:RefOrder>14</b:RefOrder>
  </b:Source>
  <b:Source>
    <b:Tag>Dav13</b:Tag>
    <b:SourceType>Book</b:SourceType>
    <b:Guid>{D5D3490C-4C64-48A4-880D-6E60AA552F28}</b:Guid>
    <b:Title>Evaluating the Effectiveness of Correctional Education: A Meta-Analysis of Programs That provide Education to Incarcerated Adults</b:Title>
    <b:Year>2013</b:Year>
    <b:Publisher>Rand Corporation</b:Publisher>
    <b:City>Washington, DC</b:City>
    <b:Author>
      <b:Author>
        <b:NameList>
          <b:Person>
            <b:Last>Davis</b:Last>
            <b:Middle>M</b:Middle>
            <b:First>L</b:First>
          </b:Person>
          <b:Person>
            <b:Last>Bozick</b:Last>
            <b:First>R</b:First>
          </b:Person>
          <b:Person>
            <b:Last>Steele</b:Last>
            <b:Middle>L</b:Middle>
            <b:First>J</b:First>
          </b:Person>
          <b:Person>
            <b:Last>Saunders</b:Last>
            <b:First>J</b:First>
          </b:Person>
          <b:Person>
            <b:Last>Miles</b:Last>
            <b:Middle>V</b:Middle>
            <b:First>J N</b:First>
          </b:Person>
        </b:NameList>
      </b:Author>
    </b:Author>
    <b:RefOrder>8</b:RefOrder>
  </b:Source>
  <b:Source>
    <b:Tag>Pil77</b:Tag>
    <b:SourceType>Report</b:SourceType>
    <b:Guid>{7E9630D9-FE16-4E8B-8EF7-A4DE5E19AA48}</b:Guid>
    <b:Title>Report of the Board of Managers: New York State Reformatory at Elmira</b:Title>
    <b:Year>1877</b:Year>
    <b:City>New York</b:City>
    <b:Author>
      <b:Author>
        <b:NameList>
          <b:Person>
            <b:Last>Pilsbury</b:Last>
            <b:Middle>D</b:Middle>
            <b:First>L</b:First>
          </b:Person>
        </b:NameList>
      </b:Author>
    </b:Author>
    <b:ThesisType>Board Report</b:ThesisType>
    <b:RefOrder>7</b:RefOrder>
  </b:Source>
  <b:Source>
    <b:Tag>Wex16</b:Tag>
    <b:SourceType>ArticleInAPeriodical</b:SourceType>
    <b:Guid>{BBDA1EA8-B480-4D71-A5E8-886A53F1CA28}</b:Guid>
    <b:Title>Prisoners to get "Second Chance Pell"</b:Title>
    <b:Year>2016</b:Year>
    <b:PeriodicalTitle>Inside Higher Ed</b:PeriodicalTitle>
    <b:Month>June</b:Month>
    <b:Day>24</b:Day>
    <b:Author>
      <b:Author>
        <b:NameList>
          <b:Person>
            <b:Last>Wexler</b:Last>
            <b:First>E</b:First>
          </b:Person>
        </b:NameList>
      </b:Author>
    </b:Author>
    <b:RefOrder>9</b:RefOrder>
  </b:Source>
</b:Sources>
</file>

<file path=customXml/itemProps1.xml><?xml version="1.0" encoding="utf-8"?>
<ds:datastoreItem xmlns:ds="http://schemas.openxmlformats.org/officeDocument/2006/customXml" ds:itemID="{D1339B71-2A2F-4AB9-A00A-016FF61BE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d5e22-b6c0-4bf3-b091-8ee369d33177"/>
    <ds:schemaRef ds:uri="3868f08e-0f69-4884-a77a-88a4a0af90cb"/>
    <ds:schemaRef ds:uri="c3d98b52-4995-4acc-9518-6977a785e2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CA68F8-AB6F-412C-B1A1-51D20451DBBE}">
  <ds:schemaRefs>
    <ds:schemaRef ds:uri="http://schemas.microsoft.com/sharepoint/v3/contenttype/forms"/>
  </ds:schemaRefs>
</ds:datastoreItem>
</file>

<file path=customXml/itemProps3.xml><?xml version="1.0" encoding="utf-8"?>
<ds:datastoreItem xmlns:ds="http://schemas.openxmlformats.org/officeDocument/2006/customXml" ds:itemID="{DDBE5D46-D296-414B-9547-07EB0EAF065A}">
  <ds:schemaRefs>
    <ds:schemaRef ds:uri="http://purl.org/dc/terms/"/>
    <ds:schemaRef ds:uri="http://schemas.microsoft.com/office/infopath/2007/PartnerControls"/>
    <ds:schemaRef ds:uri="http://purl.org/dc/dcmitype/"/>
    <ds:schemaRef ds:uri="http://schemas.openxmlformats.org/package/2006/metadata/core-properties"/>
    <ds:schemaRef ds:uri="c3d98b52-4995-4acc-9518-6977a785e2d7"/>
    <ds:schemaRef ds:uri="http://schemas.microsoft.com/office/2006/documentManagement/types"/>
    <ds:schemaRef ds:uri="http://purl.org/dc/elements/1.1/"/>
    <ds:schemaRef ds:uri="3868f08e-0f69-4884-a77a-88a4a0af90cb"/>
    <ds:schemaRef ds:uri="3d4d5e22-b6c0-4bf3-b091-8ee369d33177"/>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DB3A9F9-FEE4-40A0-98E1-8F21DDCC7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4775</Words>
  <Characters>29176</Characters>
  <Application>Microsoft Office Word</Application>
  <DocSecurity>0</DocSecurity>
  <Lines>435</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Corbett, Erin</dc:creator>
  <cp:keywords/>
  <dc:description/>
  <cp:lastModifiedBy>Laurie Russman</cp:lastModifiedBy>
  <cp:revision>8</cp:revision>
  <cp:lastPrinted>2018-09-14T20:48:00Z</cp:lastPrinted>
  <dcterms:created xsi:type="dcterms:W3CDTF">2018-09-15T00:14:00Z</dcterms:created>
  <dcterms:modified xsi:type="dcterms:W3CDTF">2018-09-21T18:22:00Z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0x0101004AD4B754B2CDC5488C79AA8713A83789</vt:lpwstr>
  </property>
  <property fmtid="{D5CDD505-2E9C-101B-9397-08002B2CF9AE}" pid="3" name="ComplianceAssetId">
    <vt:lpwstr/>
  </property>
</Properties>
</file>